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5CE" w:rsidRPr="00F0059D" w:rsidRDefault="000335CE" w:rsidP="00A83C2F">
      <w:pPr>
        <w:jc w:val="center"/>
        <w:rPr>
          <w:rFonts w:ascii="Arial" w:hAnsi="Arial" w:cs="Arial"/>
          <w:b/>
          <w:lang w:val="es-CO"/>
        </w:rPr>
      </w:pPr>
      <w:r w:rsidRPr="00F0059D">
        <w:rPr>
          <w:rFonts w:ascii="Arial" w:hAnsi="Arial" w:cs="Arial"/>
          <w:b/>
          <w:lang w:val="es-CO"/>
        </w:rPr>
        <w:t>Plan maestro para el e</w:t>
      </w:r>
      <w:r w:rsidR="001E01FF" w:rsidRPr="00F0059D">
        <w:rPr>
          <w:rFonts w:ascii="Arial" w:hAnsi="Arial" w:cs="Arial"/>
          <w:b/>
          <w:lang w:val="es-CO"/>
        </w:rPr>
        <w:t>stablecimiento, manejo y medició</w:t>
      </w:r>
      <w:r w:rsidRPr="00F0059D">
        <w:rPr>
          <w:rFonts w:ascii="Arial" w:hAnsi="Arial" w:cs="Arial"/>
          <w:b/>
          <w:lang w:val="es-CO"/>
        </w:rPr>
        <w:t>n de los ensayos Camcore de Teca.</w:t>
      </w:r>
    </w:p>
    <w:p w:rsidR="000335CE" w:rsidRPr="00F0059D" w:rsidRDefault="000335CE" w:rsidP="0036073F">
      <w:pPr>
        <w:jc w:val="both"/>
        <w:rPr>
          <w:rFonts w:ascii="Arial" w:hAnsi="Arial" w:cs="Arial"/>
          <w:b/>
          <w:lang w:val="es-CO"/>
        </w:rPr>
      </w:pPr>
    </w:p>
    <w:p w:rsidR="000335CE" w:rsidRPr="0059431D" w:rsidRDefault="000335CE" w:rsidP="0059431D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59431D">
        <w:rPr>
          <w:rFonts w:ascii="Arial" w:hAnsi="Arial" w:cs="Arial"/>
          <w:b/>
        </w:rPr>
        <w:t>Antecedentes:</w:t>
      </w:r>
    </w:p>
    <w:p w:rsidR="000335CE" w:rsidRDefault="000335CE" w:rsidP="000335CE">
      <w:pPr>
        <w:jc w:val="both"/>
        <w:rPr>
          <w:rFonts w:ascii="Arial" w:hAnsi="Arial" w:cs="Arial"/>
          <w:b/>
        </w:rPr>
      </w:pPr>
    </w:p>
    <w:p w:rsidR="000335CE" w:rsidRPr="00F0059D" w:rsidRDefault="000335CE" w:rsidP="000335CE">
      <w:p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>En la reuni</w:t>
      </w:r>
      <w:r w:rsidR="00E531CD" w:rsidRPr="00F0059D">
        <w:rPr>
          <w:rFonts w:ascii="Arial" w:hAnsi="Arial" w:cs="Arial"/>
          <w:lang w:val="es-CO"/>
        </w:rPr>
        <w:t>ó</w:t>
      </w:r>
      <w:r w:rsidRPr="00F0059D">
        <w:rPr>
          <w:rFonts w:ascii="Arial" w:hAnsi="Arial" w:cs="Arial"/>
          <w:lang w:val="es-CO"/>
        </w:rPr>
        <w:t xml:space="preserve">n de Camcore </w:t>
      </w:r>
      <w:r w:rsidR="00A439EA" w:rsidRPr="00F0059D">
        <w:rPr>
          <w:rFonts w:ascii="Arial" w:hAnsi="Arial" w:cs="Arial"/>
          <w:lang w:val="es-CO"/>
        </w:rPr>
        <w:t xml:space="preserve">sostenida </w:t>
      </w:r>
      <w:r w:rsidRPr="00F0059D">
        <w:rPr>
          <w:rFonts w:ascii="Arial" w:hAnsi="Arial" w:cs="Arial"/>
          <w:lang w:val="es-CO"/>
        </w:rPr>
        <w:t xml:space="preserve">en Indonesia </w:t>
      </w:r>
      <w:r w:rsidR="00E531CD" w:rsidRPr="00F0059D">
        <w:rPr>
          <w:rFonts w:ascii="Arial" w:hAnsi="Arial" w:cs="Arial"/>
          <w:lang w:val="es-CO"/>
        </w:rPr>
        <w:t>en octubre del 2008, se decidió</w:t>
      </w:r>
      <w:r w:rsidRPr="00F0059D">
        <w:rPr>
          <w:rFonts w:ascii="Arial" w:hAnsi="Arial" w:cs="Arial"/>
          <w:lang w:val="es-CO"/>
        </w:rPr>
        <w:t xml:space="preserve"> incluir la Teca (</w:t>
      </w:r>
      <w:r w:rsidRPr="00F0059D">
        <w:rPr>
          <w:rFonts w:ascii="Arial" w:hAnsi="Arial" w:cs="Arial"/>
          <w:i/>
          <w:lang w:val="es-CO"/>
        </w:rPr>
        <w:t>Tectona grandis</w:t>
      </w:r>
      <w:r w:rsidRPr="00F0059D">
        <w:rPr>
          <w:rFonts w:ascii="Arial" w:hAnsi="Arial" w:cs="Arial"/>
          <w:lang w:val="es-CO"/>
        </w:rPr>
        <w:t xml:space="preserve">) como una de las especies de Camcore. Acordamos un intercambio de semillas entre los miembros que plantan Teca como un punto de </w:t>
      </w:r>
      <w:r w:rsidR="001E01FF" w:rsidRPr="00F0059D">
        <w:rPr>
          <w:rFonts w:ascii="Arial" w:hAnsi="Arial" w:cs="Arial"/>
          <w:lang w:val="es-CO"/>
        </w:rPr>
        <w:t>partida</w:t>
      </w:r>
      <w:r w:rsidRPr="00F0059D">
        <w:rPr>
          <w:rFonts w:ascii="Arial" w:hAnsi="Arial" w:cs="Arial"/>
          <w:lang w:val="es-CO"/>
        </w:rPr>
        <w:t xml:space="preserve"> en el establecimiento de ensayos de progenie</w:t>
      </w:r>
      <w:r w:rsidR="00E531CD" w:rsidRPr="00F0059D">
        <w:rPr>
          <w:rFonts w:ascii="Arial" w:hAnsi="Arial" w:cs="Arial"/>
          <w:lang w:val="es-CO"/>
        </w:rPr>
        <w:t xml:space="preserve"> con la especie. Durante este añ</w:t>
      </w:r>
      <w:r w:rsidRPr="00F0059D">
        <w:rPr>
          <w:rFonts w:ascii="Arial" w:hAnsi="Arial" w:cs="Arial"/>
          <w:lang w:val="es-CO"/>
        </w:rPr>
        <w:t xml:space="preserve">o cada uno de los miembros </w:t>
      </w:r>
      <w:r w:rsidR="00E531CD" w:rsidRPr="00F0059D">
        <w:rPr>
          <w:rFonts w:ascii="Arial" w:hAnsi="Arial" w:cs="Arial"/>
          <w:lang w:val="es-CO"/>
        </w:rPr>
        <w:t>envió semillas a Camcore de 20 á</w:t>
      </w:r>
      <w:r w:rsidRPr="00F0059D">
        <w:rPr>
          <w:rFonts w:ascii="Arial" w:hAnsi="Arial" w:cs="Arial"/>
          <w:lang w:val="es-CO"/>
        </w:rPr>
        <w:t>r</w:t>
      </w:r>
      <w:r w:rsidR="00E531CD" w:rsidRPr="00F0059D">
        <w:rPr>
          <w:rFonts w:ascii="Arial" w:hAnsi="Arial" w:cs="Arial"/>
          <w:lang w:val="es-CO"/>
        </w:rPr>
        <w:t>boles seleccionados como mí</w:t>
      </w:r>
      <w:r w:rsidRPr="00F0059D">
        <w:rPr>
          <w:rFonts w:ascii="Arial" w:hAnsi="Arial" w:cs="Arial"/>
          <w:lang w:val="es-CO"/>
        </w:rPr>
        <w:t>nimo</w:t>
      </w:r>
      <w:r w:rsidR="00F0059D">
        <w:rPr>
          <w:rFonts w:ascii="Arial" w:hAnsi="Arial" w:cs="Arial"/>
          <w:lang w:val="es-CO"/>
        </w:rPr>
        <w:t>, colectada en</w:t>
      </w:r>
      <w:r w:rsidRPr="00F0059D">
        <w:rPr>
          <w:rFonts w:ascii="Arial" w:hAnsi="Arial" w:cs="Arial"/>
          <w:lang w:val="es-CO"/>
        </w:rPr>
        <w:t xml:space="preserve"> </w:t>
      </w:r>
      <w:r w:rsidR="00E531CD" w:rsidRPr="00F0059D">
        <w:rPr>
          <w:rFonts w:ascii="Arial" w:hAnsi="Arial" w:cs="Arial"/>
          <w:lang w:val="es-CO"/>
        </w:rPr>
        <w:t>estudios gené</w:t>
      </w:r>
      <w:r w:rsidRPr="00F0059D">
        <w:rPr>
          <w:rFonts w:ascii="Arial" w:hAnsi="Arial" w:cs="Arial"/>
          <w:lang w:val="es-CO"/>
        </w:rPr>
        <w:t xml:space="preserve">ticos, huertos semilleros y plantaciones comerciales. </w:t>
      </w:r>
    </w:p>
    <w:p w:rsidR="000335CE" w:rsidRPr="00F0059D" w:rsidRDefault="000335CE" w:rsidP="000335CE">
      <w:pPr>
        <w:jc w:val="both"/>
        <w:rPr>
          <w:rFonts w:ascii="Arial" w:hAnsi="Arial" w:cs="Arial"/>
          <w:lang w:val="es-CO"/>
        </w:rPr>
      </w:pPr>
    </w:p>
    <w:p w:rsidR="000335CE" w:rsidRPr="00F0059D" w:rsidRDefault="000335CE" w:rsidP="000335CE">
      <w:p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 xml:space="preserve">En Camcore, </w:t>
      </w:r>
      <w:r w:rsidR="00C64473" w:rsidRPr="00F0059D">
        <w:rPr>
          <w:rFonts w:ascii="Arial" w:hAnsi="Arial" w:cs="Arial"/>
          <w:lang w:val="es-CO"/>
        </w:rPr>
        <w:t>efectuamos ensayos de germinació</w:t>
      </w:r>
      <w:r w:rsidRPr="00F0059D">
        <w:rPr>
          <w:rFonts w:ascii="Arial" w:hAnsi="Arial" w:cs="Arial"/>
          <w:lang w:val="es-CO"/>
        </w:rPr>
        <w:t>n de las semillas de cuatro de los miembros (semillas de CSIRO y Chikweti se recibieron en Julio y Agosto</w:t>
      </w:r>
      <w:r w:rsidR="00C64473" w:rsidRPr="00F0059D">
        <w:rPr>
          <w:rFonts w:ascii="Arial" w:hAnsi="Arial" w:cs="Arial"/>
          <w:lang w:val="es-CO"/>
        </w:rPr>
        <w:t>,</w:t>
      </w:r>
      <w:r w:rsidRPr="00F0059D">
        <w:rPr>
          <w:rFonts w:ascii="Arial" w:hAnsi="Arial" w:cs="Arial"/>
          <w:lang w:val="es-CO"/>
        </w:rPr>
        <w:t xml:space="preserve"> por lo cual no tuvimos tiempo par</w:t>
      </w:r>
      <w:r w:rsidR="00C64473" w:rsidRPr="00F0059D">
        <w:rPr>
          <w:rFonts w:ascii="Arial" w:hAnsi="Arial" w:cs="Arial"/>
          <w:lang w:val="es-CO"/>
        </w:rPr>
        <w:t>a realizar ensayos de germinació</w:t>
      </w:r>
      <w:r w:rsidRPr="00F0059D">
        <w:rPr>
          <w:rFonts w:ascii="Arial" w:hAnsi="Arial" w:cs="Arial"/>
          <w:lang w:val="es-CO"/>
        </w:rPr>
        <w:t>n). Con el fin de dise</w:t>
      </w:r>
      <w:r w:rsidR="00C64473" w:rsidRPr="00F0059D">
        <w:rPr>
          <w:rFonts w:ascii="Arial" w:hAnsi="Arial" w:cs="Arial"/>
          <w:lang w:val="es-CO"/>
        </w:rPr>
        <w:t>ñ</w:t>
      </w:r>
      <w:r w:rsidRPr="00F0059D">
        <w:rPr>
          <w:rFonts w:ascii="Arial" w:hAnsi="Arial" w:cs="Arial"/>
          <w:lang w:val="es-CO"/>
        </w:rPr>
        <w:t>ar los estudios y distribuir las se</w:t>
      </w:r>
      <w:r w:rsidR="00C64473" w:rsidRPr="00F0059D">
        <w:rPr>
          <w:rFonts w:ascii="Arial" w:hAnsi="Arial" w:cs="Arial"/>
          <w:lang w:val="es-CO"/>
        </w:rPr>
        <w:t>millas, estimamos una germinació</w:t>
      </w:r>
      <w:r w:rsidRPr="00F0059D">
        <w:rPr>
          <w:rFonts w:ascii="Arial" w:hAnsi="Arial" w:cs="Arial"/>
          <w:lang w:val="es-CO"/>
        </w:rPr>
        <w:t xml:space="preserve">n del 30% para la semilla de CSIRO y Chikweti (Tabla 1). </w:t>
      </w:r>
    </w:p>
    <w:p w:rsidR="00962349" w:rsidRPr="00F0059D" w:rsidRDefault="00962349" w:rsidP="000335CE">
      <w:pPr>
        <w:jc w:val="both"/>
        <w:rPr>
          <w:rFonts w:ascii="Arial" w:hAnsi="Arial" w:cs="Arial"/>
          <w:lang w:val="es-CO"/>
        </w:rPr>
      </w:pPr>
    </w:p>
    <w:p w:rsidR="00962349" w:rsidRPr="00F0059D" w:rsidRDefault="00962349" w:rsidP="00962349">
      <w:pPr>
        <w:spacing w:before="100" w:beforeAutospacing="1" w:after="100" w:afterAutospacing="1"/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 xml:space="preserve">Tabla 1. Resultados del ensayo de germinación (50 días) de las semillas recibidas antes de Junio 5 del 2009. </w:t>
      </w:r>
    </w:p>
    <w:tbl>
      <w:tblPr>
        <w:tblStyle w:val="TableGrid"/>
        <w:tblW w:w="0" w:type="auto"/>
        <w:tblLook w:val="0620"/>
      </w:tblPr>
      <w:tblGrid>
        <w:gridCol w:w="1114"/>
        <w:gridCol w:w="1328"/>
        <w:gridCol w:w="1293"/>
        <w:gridCol w:w="1143"/>
        <w:gridCol w:w="900"/>
        <w:gridCol w:w="1260"/>
        <w:gridCol w:w="1043"/>
        <w:gridCol w:w="775"/>
      </w:tblGrid>
      <w:tr w:rsidR="00F51518" w:rsidTr="00F51518">
        <w:trPr>
          <w:trHeight w:val="278"/>
        </w:trPr>
        <w:tc>
          <w:tcPr>
            <w:tcW w:w="1114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5143B8" w:rsidRPr="00F51518" w:rsidRDefault="005143B8" w:rsidP="00F51518">
            <w:pPr>
              <w:spacing w:before="100" w:beforeAutospacing="1" w:after="100" w:afterAutospacing="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518">
              <w:rPr>
                <w:rFonts w:asciiTheme="majorHAnsi" w:hAnsiTheme="majorHAnsi"/>
                <w:b/>
                <w:sz w:val="20"/>
                <w:szCs w:val="20"/>
              </w:rPr>
              <w:t>Refocosta</w:t>
            </w:r>
          </w:p>
        </w:tc>
        <w:tc>
          <w:tcPr>
            <w:tcW w:w="1328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5143B8" w:rsidRPr="00F51518" w:rsidRDefault="005143B8" w:rsidP="00F51518">
            <w:pPr>
              <w:spacing w:before="100" w:beforeAutospacing="1" w:after="100" w:afterAutospacing="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518">
              <w:rPr>
                <w:rFonts w:asciiTheme="majorHAnsi" w:hAnsiTheme="majorHAnsi"/>
                <w:b/>
                <w:sz w:val="20"/>
                <w:szCs w:val="20"/>
              </w:rPr>
              <w:t>East Africa</w:t>
            </w:r>
          </w:p>
        </w:tc>
        <w:tc>
          <w:tcPr>
            <w:tcW w:w="1293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5143B8" w:rsidRPr="00F51518" w:rsidRDefault="005143B8" w:rsidP="00F51518">
            <w:pPr>
              <w:spacing w:before="100" w:beforeAutospacing="1" w:after="100" w:afterAutospacing="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518">
              <w:rPr>
                <w:rFonts w:asciiTheme="majorHAnsi" w:hAnsiTheme="majorHAnsi"/>
                <w:b/>
                <w:sz w:val="20"/>
                <w:szCs w:val="20"/>
              </w:rPr>
              <w:t>Sumalindo*</w:t>
            </w:r>
          </w:p>
        </w:tc>
        <w:tc>
          <w:tcPr>
            <w:tcW w:w="20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5143B8" w:rsidRPr="00F51518" w:rsidRDefault="005143B8" w:rsidP="00F51518">
            <w:pPr>
              <w:spacing w:before="100" w:beforeAutospacing="1" w:after="100" w:afterAutospacing="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518">
              <w:rPr>
                <w:rFonts w:asciiTheme="majorHAnsi" w:hAnsiTheme="majorHAnsi"/>
                <w:b/>
                <w:sz w:val="20"/>
                <w:szCs w:val="20"/>
              </w:rPr>
              <w:t>Grupo DeGuate</w:t>
            </w:r>
          </w:p>
        </w:tc>
        <w:tc>
          <w:tcPr>
            <w:tcW w:w="1260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5143B8" w:rsidRPr="00F51518" w:rsidRDefault="005143B8" w:rsidP="00F51518">
            <w:pPr>
              <w:spacing w:before="100" w:beforeAutospacing="1" w:after="100" w:afterAutospacing="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518">
              <w:rPr>
                <w:rFonts w:asciiTheme="majorHAnsi" w:hAnsiTheme="majorHAnsi"/>
                <w:b/>
                <w:sz w:val="20"/>
                <w:szCs w:val="20"/>
              </w:rPr>
              <w:t>Bulk SKCV</w:t>
            </w:r>
          </w:p>
        </w:tc>
        <w:tc>
          <w:tcPr>
            <w:tcW w:w="1043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5143B8" w:rsidRPr="00F51518" w:rsidRDefault="005143B8" w:rsidP="00F51518">
            <w:pPr>
              <w:spacing w:before="100" w:beforeAutospacing="1" w:after="100" w:afterAutospacing="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518">
              <w:rPr>
                <w:rFonts w:asciiTheme="majorHAnsi" w:hAnsiTheme="majorHAnsi"/>
                <w:b/>
                <w:sz w:val="20"/>
                <w:szCs w:val="20"/>
              </w:rPr>
              <w:t>Chikweti</w:t>
            </w:r>
          </w:p>
        </w:tc>
        <w:tc>
          <w:tcPr>
            <w:tcW w:w="775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5143B8" w:rsidRPr="00F51518" w:rsidRDefault="005143B8" w:rsidP="00F51518">
            <w:pPr>
              <w:spacing w:before="100" w:beforeAutospacing="1" w:after="100" w:afterAutospacing="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51518">
              <w:rPr>
                <w:rFonts w:asciiTheme="majorHAnsi" w:hAnsiTheme="majorHAnsi"/>
                <w:b/>
                <w:sz w:val="20"/>
                <w:szCs w:val="20"/>
              </w:rPr>
              <w:t>CSIRO</w:t>
            </w:r>
          </w:p>
        </w:tc>
      </w:tr>
      <w:tr w:rsidR="00F51518" w:rsidTr="00F51518">
        <w:trPr>
          <w:trHeight w:val="277"/>
        </w:trPr>
        <w:tc>
          <w:tcPr>
            <w:tcW w:w="1114" w:type="dxa"/>
            <w:vMerge/>
            <w:tcBorders>
              <w:top w:val="single" w:sz="4" w:space="0" w:color="A6A6A6" w:themeColor="background1" w:themeShade="A6"/>
            </w:tcBorders>
          </w:tcPr>
          <w:p w:rsidR="005143B8" w:rsidRPr="005143B8" w:rsidRDefault="005143B8" w:rsidP="00962349">
            <w:pPr>
              <w:spacing w:before="100" w:beforeAutospacing="1" w:after="100" w:afterAutospacing="1"/>
              <w:jc w:val="both"/>
            </w:pPr>
          </w:p>
        </w:tc>
        <w:tc>
          <w:tcPr>
            <w:tcW w:w="1328" w:type="dxa"/>
            <w:vMerge/>
            <w:tcBorders>
              <w:top w:val="single" w:sz="4" w:space="0" w:color="A6A6A6" w:themeColor="background1" w:themeShade="A6"/>
            </w:tcBorders>
          </w:tcPr>
          <w:p w:rsidR="005143B8" w:rsidRPr="005143B8" w:rsidRDefault="005143B8" w:rsidP="00962349">
            <w:pPr>
              <w:spacing w:before="100" w:beforeAutospacing="1" w:after="100" w:afterAutospacing="1"/>
              <w:jc w:val="both"/>
            </w:pPr>
          </w:p>
        </w:tc>
        <w:tc>
          <w:tcPr>
            <w:tcW w:w="1293" w:type="dxa"/>
            <w:vMerge/>
            <w:tcBorders>
              <w:top w:val="single" w:sz="4" w:space="0" w:color="A6A6A6" w:themeColor="background1" w:themeShade="A6"/>
            </w:tcBorders>
          </w:tcPr>
          <w:p w:rsidR="005143B8" w:rsidRPr="005143B8" w:rsidRDefault="005143B8" w:rsidP="00962349">
            <w:pPr>
              <w:spacing w:before="100" w:beforeAutospacing="1" w:after="100" w:afterAutospacing="1"/>
              <w:jc w:val="both"/>
            </w:pPr>
          </w:p>
        </w:tc>
        <w:tc>
          <w:tcPr>
            <w:tcW w:w="1143" w:type="dxa"/>
            <w:tcBorders>
              <w:top w:val="single" w:sz="4" w:space="0" w:color="A6A6A6" w:themeColor="background1" w:themeShade="A6"/>
            </w:tcBorders>
            <w:shd w:val="clear" w:color="auto" w:fill="D9D9D9" w:themeFill="background1" w:themeFillShade="D9"/>
          </w:tcPr>
          <w:p w:rsidR="005143B8" w:rsidRPr="00F51518" w:rsidRDefault="005143B8" w:rsidP="0096234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F51518">
              <w:rPr>
                <w:sz w:val="20"/>
                <w:szCs w:val="20"/>
              </w:rPr>
              <w:t>Guatemala</w:t>
            </w:r>
          </w:p>
        </w:tc>
        <w:tc>
          <w:tcPr>
            <w:tcW w:w="900" w:type="dxa"/>
            <w:tcBorders>
              <w:top w:val="single" w:sz="4" w:space="0" w:color="A6A6A6" w:themeColor="background1" w:themeShade="A6"/>
            </w:tcBorders>
            <w:shd w:val="clear" w:color="auto" w:fill="D9D9D9" w:themeFill="background1" w:themeFillShade="D9"/>
          </w:tcPr>
          <w:p w:rsidR="005143B8" w:rsidRPr="00F51518" w:rsidRDefault="005143B8" w:rsidP="0096234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F51518">
              <w:rPr>
                <w:sz w:val="20"/>
                <w:szCs w:val="20"/>
              </w:rPr>
              <w:t>C. Rica</w:t>
            </w:r>
          </w:p>
        </w:tc>
        <w:tc>
          <w:tcPr>
            <w:tcW w:w="1260" w:type="dxa"/>
            <w:vMerge/>
            <w:tcBorders>
              <w:top w:val="single" w:sz="4" w:space="0" w:color="A6A6A6" w:themeColor="background1" w:themeShade="A6"/>
            </w:tcBorders>
          </w:tcPr>
          <w:p w:rsidR="005143B8" w:rsidRDefault="005143B8" w:rsidP="00962349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</w:p>
        </w:tc>
        <w:tc>
          <w:tcPr>
            <w:tcW w:w="1043" w:type="dxa"/>
            <w:vMerge/>
            <w:tcBorders>
              <w:top w:val="single" w:sz="4" w:space="0" w:color="A6A6A6" w:themeColor="background1" w:themeShade="A6"/>
            </w:tcBorders>
          </w:tcPr>
          <w:p w:rsidR="005143B8" w:rsidRDefault="005143B8" w:rsidP="00962349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</w:p>
        </w:tc>
        <w:tc>
          <w:tcPr>
            <w:tcW w:w="775" w:type="dxa"/>
            <w:vMerge/>
            <w:tcBorders>
              <w:top w:val="single" w:sz="4" w:space="0" w:color="A6A6A6" w:themeColor="background1" w:themeShade="A6"/>
            </w:tcBorders>
          </w:tcPr>
          <w:p w:rsidR="005143B8" w:rsidRDefault="005143B8" w:rsidP="00962349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</w:p>
        </w:tc>
      </w:tr>
      <w:tr w:rsidR="005143B8" w:rsidTr="00F51518">
        <w:trPr>
          <w:trHeight w:val="440"/>
        </w:trPr>
        <w:tc>
          <w:tcPr>
            <w:tcW w:w="1114" w:type="dxa"/>
            <w:vAlign w:val="center"/>
          </w:tcPr>
          <w:p w:rsidR="005143B8" w:rsidRPr="00F51518" w:rsidRDefault="005143B8" w:rsidP="00F5151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51518">
              <w:rPr>
                <w:sz w:val="20"/>
                <w:szCs w:val="20"/>
                <w:lang w:val="es-ES"/>
              </w:rPr>
              <w:t>47%</w:t>
            </w:r>
          </w:p>
        </w:tc>
        <w:tc>
          <w:tcPr>
            <w:tcW w:w="1328" w:type="dxa"/>
            <w:vAlign w:val="center"/>
          </w:tcPr>
          <w:p w:rsidR="005143B8" w:rsidRPr="00F51518" w:rsidRDefault="005143B8" w:rsidP="00F5151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51518">
              <w:rPr>
                <w:sz w:val="20"/>
                <w:szCs w:val="20"/>
                <w:lang w:val="es-ES"/>
              </w:rPr>
              <w:t>34%</w:t>
            </w:r>
          </w:p>
        </w:tc>
        <w:tc>
          <w:tcPr>
            <w:tcW w:w="1293" w:type="dxa"/>
            <w:vAlign w:val="center"/>
          </w:tcPr>
          <w:p w:rsidR="005143B8" w:rsidRPr="00F51518" w:rsidRDefault="005143B8" w:rsidP="00F5151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51518">
              <w:rPr>
                <w:sz w:val="20"/>
                <w:szCs w:val="20"/>
                <w:lang w:val="es-ES"/>
              </w:rPr>
              <w:t>35%</w:t>
            </w:r>
          </w:p>
        </w:tc>
        <w:tc>
          <w:tcPr>
            <w:tcW w:w="1143" w:type="dxa"/>
            <w:vAlign w:val="center"/>
          </w:tcPr>
          <w:p w:rsidR="005143B8" w:rsidRPr="00F51518" w:rsidRDefault="005143B8" w:rsidP="00F5151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s-ES"/>
              </w:rPr>
            </w:pPr>
            <w:r w:rsidRPr="00F51518">
              <w:rPr>
                <w:sz w:val="20"/>
                <w:szCs w:val="20"/>
                <w:lang w:val="es-ES"/>
              </w:rPr>
              <w:t>22%</w:t>
            </w:r>
          </w:p>
        </w:tc>
        <w:tc>
          <w:tcPr>
            <w:tcW w:w="900" w:type="dxa"/>
            <w:vAlign w:val="center"/>
          </w:tcPr>
          <w:p w:rsidR="005143B8" w:rsidRPr="00F51518" w:rsidRDefault="005143B8" w:rsidP="00F5151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51518">
              <w:rPr>
                <w:sz w:val="20"/>
                <w:szCs w:val="20"/>
                <w:lang w:val="es-ES"/>
              </w:rPr>
              <w:t>113%</w:t>
            </w:r>
          </w:p>
        </w:tc>
        <w:tc>
          <w:tcPr>
            <w:tcW w:w="1260" w:type="dxa"/>
            <w:vAlign w:val="center"/>
          </w:tcPr>
          <w:p w:rsidR="005143B8" w:rsidRPr="00F51518" w:rsidRDefault="005143B8" w:rsidP="00F5151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51518">
              <w:rPr>
                <w:sz w:val="20"/>
                <w:szCs w:val="20"/>
                <w:lang w:val="es-ES"/>
              </w:rPr>
              <w:t>24%</w:t>
            </w:r>
          </w:p>
        </w:tc>
        <w:tc>
          <w:tcPr>
            <w:tcW w:w="1043" w:type="dxa"/>
            <w:vAlign w:val="center"/>
          </w:tcPr>
          <w:p w:rsidR="005143B8" w:rsidRPr="00F51518" w:rsidRDefault="005143B8" w:rsidP="00F5151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51518">
              <w:rPr>
                <w:sz w:val="20"/>
                <w:szCs w:val="20"/>
                <w:lang w:val="es-ES"/>
              </w:rPr>
              <w:t>ND**</w:t>
            </w:r>
          </w:p>
        </w:tc>
        <w:tc>
          <w:tcPr>
            <w:tcW w:w="775" w:type="dxa"/>
            <w:vAlign w:val="center"/>
          </w:tcPr>
          <w:p w:rsidR="005143B8" w:rsidRPr="00F51518" w:rsidRDefault="005143B8" w:rsidP="00F51518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51518">
              <w:rPr>
                <w:sz w:val="20"/>
                <w:szCs w:val="20"/>
                <w:lang w:val="es-ES"/>
              </w:rPr>
              <w:t>ND**</w:t>
            </w:r>
          </w:p>
        </w:tc>
      </w:tr>
    </w:tbl>
    <w:p w:rsidR="000335CE" w:rsidRPr="007A3DFA" w:rsidRDefault="000335CE" w:rsidP="000335CE">
      <w:pPr>
        <w:jc w:val="both"/>
        <w:rPr>
          <w:rFonts w:ascii="Arial" w:hAnsi="Arial" w:cs="Arial"/>
          <w:sz w:val="20"/>
          <w:szCs w:val="20"/>
        </w:rPr>
      </w:pPr>
    </w:p>
    <w:p w:rsidR="00C87420" w:rsidRPr="00F0059D" w:rsidRDefault="007A3DFA" w:rsidP="007A3DFA">
      <w:pPr>
        <w:jc w:val="both"/>
        <w:rPr>
          <w:rFonts w:ascii="Arial" w:hAnsi="Arial" w:cs="Arial"/>
          <w:sz w:val="16"/>
          <w:szCs w:val="16"/>
          <w:lang w:val="es-CO"/>
        </w:rPr>
      </w:pPr>
      <w:r w:rsidRPr="00F0059D">
        <w:rPr>
          <w:rFonts w:ascii="Arial" w:hAnsi="Arial" w:cs="Arial"/>
          <w:sz w:val="16"/>
          <w:szCs w:val="16"/>
          <w:lang w:val="es-CO"/>
        </w:rPr>
        <w:t>*Recibimos en Camcore 2 ki</w:t>
      </w:r>
      <w:r w:rsidR="00C87420" w:rsidRPr="00F0059D">
        <w:rPr>
          <w:rFonts w:ascii="Arial" w:hAnsi="Arial" w:cs="Arial"/>
          <w:sz w:val="16"/>
          <w:szCs w:val="16"/>
          <w:lang w:val="es-CO"/>
        </w:rPr>
        <w:t>los de semilla de árboles plus de</w:t>
      </w:r>
      <w:r w:rsidRPr="00F0059D">
        <w:rPr>
          <w:rFonts w:ascii="Arial" w:hAnsi="Arial" w:cs="Arial"/>
          <w:sz w:val="16"/>
          <w:szCs w:val="16"/>
          <w:lang w:val="es-CO"/>
        </w:rPr>
        <w:t xml:space="preserve"> Sumalindo a principios del 2009. </w:t>
      </w:r>
      <w:r w:rsidR="00AD7CA1">
        <w:rPr>
          <w:rFonts w:ascii="Arial" w:hAnsi="Arial" w:cs="Arial"/>
          <w:sz w:val="16"/>
          <w:szCs w:val="16"/>
          <w:lang w:val="es-CO"/>
        </w:rPr>
        <w:t>Parte de estas semillas fue</w:t>
      </w:r>
      <w:r w:rsidR="00C87420" w:rsidRPr="00F0059D">
        <w:rPr>
          <w:rFonts w:ascii="Arial" w:hAnsi="Arial" w:cs="Arial"/>
          <w:sz w:val="16"/>
          <w:szCs w:val="16"/>
          <w:lang w:val="es-CO"/>
        </w:rPr>
        <w:t xml:space="preserve"> utilizada para los ensayos de germinación.</w:t>
      </w:r>
    </w:p>
    <w:p w:rsidR="00C87420" w:rsidRPr="00F0059D" w:rsidRDefault="00C87420" w:rsidP="007A3DFA">
      <w:pPr>
        <w:jc w:val="both"/>
        <w:rPr>
          <w:rFonts w:ascii="Arial" w:hAnsi="Arial" w:cs="Arial"/>
          <w:sz w:val="16"/>
          <w:szCs w:val="16"/>
          <w:lang w:val="es-CO"/>
        </w:rPr>
      </w:pPr>
    </w:p>
    <w:p w:rsidR="00F51518" w:rsidRPr="00F0059D" w:rsidRDefault="00AD7CA1" w:rsidP="007A3DFA">
      <w:pPr>
        <w:jc w:val="both"/>
        <w:rPr>
          <w:rFonts w:ascii="Arial" w:hAnsi="Arial" w:cs="Arial"/>
          <w:sz w:val="16"/>
          <w:szCs w:val="16"/>
          <w:lang w:val="es-CO"/>
        </w:rPr>
      </w:pPr>
      <w:r>
        <w:rPr>
          <w:rFonts w:ascii="Arial" w:hAnsi="Arial" w:cs="Arial"/>
          <w:sz w:val="16"/>
          <w:szCs w:val="16"/>
          <w:lang w:val="es-CO"/>
        </w:rPr>
        <w:t>**Informació</w:t>
      </w:r>
      <w:r w:rsidR="00C87420" w:rsidRPr="00F0059D">
        <w:rPr>
          <w:rFonts w:ascii="Arial" w:hAnsi="Arial" w:cs="Arial"/>
          <w:sz w:val="16"/>
          <w:szCs w:val="16"/>
          <w:lang w:val="es-CO"/>
        </w:rPr>
        <w:t xml:space="preserve">n no disponible porque las semillas de Chikweti fueron recibidas en Julio y las de CSIRO en Agosto.  </w:t>
      </w:r>
    </w:p>
    <w:p w:rsidR="00F51518" w:rsidRPr="00F0059D" w:rsidRDefault="00F51518" w:rsidP="000335CE">
      <w:pPr>
        <w:jc w:val="both"/>
        <w:rPr>
          <w:rFonts w:ascii="Arial" w:hAnsi="Arial" w:cs="Arial"/>
          <w:lang w:val="es-CO"/>
        </w:rPr>
      </w:pPr>
    </w:p>
    <w:p w:rsidR="00EA5F4C" w:rsidRPr="00F0059D" w:rsidRDefault="00EA5F4C" w:rsidP="0036073F">
      <w:pPr>
        <w:jc w:val="both"/>
        <w:rPr>
          <w:rFonts w:ascii="Arial" w:hAnsi="Arial" w:cs="Arial"/>
          <w:lang w:val="es-CO"/>
        </w:rPr>
      </w:pPr>
    </w:p>
    <w:p w:rsidR="00CF272A" w:rsidRPr="00F0059D" w:rsidRDefault="004E599B" w:rsidP="004E599B">
      <w:p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b/>
          <w:lang w:val="es-CO"/>
        </w:rPr>
        <w:t xml:space="preserve">       </w:t>
      </w:r>
      <w:r w:rsidR="00B40962" w:rsidRPr="00F0059D">
        <w:rPr>
          <w:rFonts w:ascii="Arial" w:hAnsi="Arial" w:cs="Arial"/>
          <w:b/>
          <w:lang w:val="es-CO"/>
        </w:rPr>
        <w:t>2. Objetivo</w:t>
      </w:r>
      <w:r w:rsidR="00CF272A" w:rsidRPr="00F0059D">
        <w:rPr>
          <w:rFonts w:ascii="Arial" w:hAnsi="Arial" w:cs="Arial"/>
          <w:b/>
          <w:lang w:val="es-CO"/>
        </w:rPr>
        <w:t>:</w:t>
      </w:r>
    </w:p>
    <w:p w:rsidR="00CF272A" w:rsidRPr="00F0059D" w:rsidRDefault="00CF272A" w:rsidP="0036073F">
      <w:pPr>
        <w:jc w:val="both"/>
        <w:rPr>
          <w:rFonts w:ascii="Arial" w:hAnsi="Arial" w:cs="Arial"/>
          <w:lang w:val="es-CO"/>
        </w:rPr>
      </w:pPr>
    </w:p>
    <w:p w:rsidR="00CF272A" w:rsidRPr="00F0059D" w:rsidRDefault="00CF272A" w:rsidP="0036073F">
      <w:p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>Establ</w:t>
      </w:r>
      <w:r w:rsidR="00B40962" w:rsidRPr="00F0059D">
        <w:rPr>
          <w:rFonts w:ascii="Arial" w:hAnsi="Arial" w:cs="Arial"/>
          <w:lang w:val="es-CO"/>
        </w:rPr>
        <w:t xml:space="preserve">ecimiento de 2 ensayos por miembro para ensayar: </w:t>
      </w:r>
    </w:p>
    <w:p w:rsidR="00EA5F4C" w:rsidRPr="00F0059D" w:rsidRDefault="00EA5F4C" w:rsidP="0036073F">
      <w:pPr>
        <w:jc w:val="both"/>
        <w:rPr>
          <w:rFonts w:ascii="Arial" w:hAnsi="Arial" w:cs="Arial"/>
          <w:lang w:val="es-CO"/>
        </w:rPr>
      </w:pPr>
    </w:p>
    <w:p w:rsidR="00CF272A" w:rsidRPr="00F0059D" w:rsidRDefault="00B40962" w:rsidP="0036073F">
      <w:pPr>
        <w:numPr>
          <w:ilvl w:val="0"/>
          <w:numId w:val="3"/>
        </w:num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>Desempe</w:t>
      </w:r>
      <w:r w:rsidR="006C5AB0" w:rsidRPr="00F0059D">
        <w:rPr>
          <w:rFonts w:ascii="Arial" w:hAnsi="Arial" w:cs="Arial"/>
          <w:lang w:val="es-CO"/>
        </w:rPr>
        <w:t>ñ</w:t>
      </w:r>
      <w:r w:rsidRPr="00F0059D">
        <w:rPr>
          <w:rFonts w:ascii="Arial" w:hAnsi="Arial" w:cs="Arial"/>
          <w:lang w:val="es-CO"/>
        </w:rPr>
        <w:t xml:space="preserve">o de aproximadamente 150 familias de diferentes </w:t>
      </w:r>
      <w:r w:rsidR="006C5AB0" w:rsidRPr="00F0059D">
        <w:rPr>
          <w:rFonts w:ascii="Arial" w:hAnsi="Arial" w:cs="Arial"/>
          <w:lang w:val="es-CO"/>
        </w:rPr>
        <w:t>f</w:t>
      </w:r>
      <w:r w:rsidRPr="00F0059D">
        <w:rPr>
          <w:rFonts w:ascii="Arial" w:hAnsi="Arial" w:cs="Arial"/>
          <w:lang w:val="es-CO"/>
        </w:rPr>
        <w:t>uentes para ser plantadas en sitios y pa</w:t>
      </w:r>
      <w:r w:rsidR="006C5AB0" w:rsidRPr="00F0059D">
        <w:rPr>
          <w:rFonts w:ascii="Arial" w:hAnsi="Arial" w:cs="Arial"/>
          <w:lang w:val="es-CO"/>
        </w:rPr>
        <w:t>í</w:t>
      </w:r>
      <w:r w:rsidRPr="00F0059D">
        <w:rPr>
          <w:rFonts w:ascii="Arial" w:hAnsi="Arial" w:cs="Arial"/>
          <w:lang w:val="es-CO"/>
        </w:rPr>
        <w:t>ses distintos (las organizaciones recibir</w:t>
      </w:r>
      <w:r w:rsidR="006C5AB0" w:rsidRPr="00F0059D">
        <w:rPr>
          <w:rFonts w:ascii="Arial" w:hAnsi="Arial" w:cs="Arial"/>
          <w:lang w:val="es-CO"/>
        </w:rPr>
        <w:t>á</w:t>
      </w:r>
      <w:r w:rsidRPr="00F0059D">
        <w:rPr>
          <w:rFonts w:ascii="Arial" w:hAnsi="Arial" w:cs="Arial"/>
          <w:lang w:val="es-CO"/>
        </w:rPr>
        <w:t>n la mayor</w:t>
      </w:r>
      <w:r w:rsidR="006C5AB0" w:rsidRPr="00F0059D">
        <w:rPr>
          <w:rFonts w:ascii="Arial" w:hAnsi="Arial" w:cs="Arial"/>
          <w:lang w:val="es-CO"/>
        </w:rPr>
        <w:t>í</w:t>
      </w:r>
      <w:r w:rsidRPr="00F0059D">
        <w:rPr>
          <w:rFonts w:ascii="Arial" w:hAnsi="Arial" w:cs="Arial"/>
          <w:lang w:val="es-CO"/>
        </w:rPr>
        <w:t>a de los lotes de semillas, los que no se ensay</w:t>
      </w:r>
      <w:r w:rsidR="006C5AB0" w:rsidRPr="00F0059D">
        <w:rPr>
          <w:rFonts w:ascii="Arial" w:hAnsi="Arial" w:cs="Arial"/>
          <w:lang w:val="es-CO"/>
        </w:rPr>
        <w:t>e</w:t>
      </w:r>
      <w:r w:rsidRPr="00F0059D">
        <w:rPr>
          <w:rFonts w:ascii="Arial" w:hAnsi="Arial" w:cs="Arial"/>
          <w:lang w:val="es-CO"/>
        </w:rPr>
        <w:t>n en un sitio ser</w:t>
      </w:r>
      <w:r w:rsidR="006C5AB0" w:rsidRPr="00F0059D">
        <w:rPr>
          <w:rFonts w:ascii="Arial" w:hAnsi="Arial" w:cs="Arial"/>
          <w:lang w:val="es-CO"/>
        </w:rPr>
        <w:t>á</w:t>
      </w:r>
      <w:r w:rsidRPr="00F0059D">
        <w:rPr>
          <w:rFonts w:ascii="Arial" w:hAnsi="Arial" w:cs="Arial"/>
          <w:lang w:val="es-CO"/>
        </w:rPr>
        <w:t xml:space="preserve">n ensayados en otros).         </w:t>
      </w:r>
    </w:p>
    <w:p w:rsidR="002C019C" w:rsidRPr="00F0059D" w:rsidRDefault="006C5AB0" w:rsidP="0036073F">
      <w:pPr>
        <w:numPr>
          <w:ilvl w:val="0"/>
          <w:numId w:val="3"/>
        </w:num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 xml:space="preserve">Respuesta de diferentes genotipos a varios regímenes de fertilización.       </w:t>
      </w:r>
    </w:p>
    <w:p w:rsidR="002C019C" w:rsidRPr="00F0059D" w:rsidRDefault="002C019C" w:rsidP="0036073F">
      <w:pPr>
        <w:jc w:val="both"/>
        <w:rPr>
          <w:rFonts w:ascii="Arial" w:hAnsi="Arial" w:cs="Arial"/>
          <w:lang w:val="es-CO"/>
        </w:rPr>
      </w:pPr>
    </w:p>
    <w:p w:rsidR="004C1728" w:rsidRPr="00F0059D" w:rsidRDefault="004C1728" w:rsidP="0036073F">
      <w:p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>Los resultados obtenidos en la evaluaci</w:t>
      </w:r>
      <w:r w:rsidR="00716E1F" w:rsidRPr="00F0059D">
        <w:rPr>
          <w:rFonts w:ascii="Arial" w:hAnsi="Arial" w:cs="Arial"/>
          <w:lang w:val="es-CO"/>
        </w:rPr>
        <w:t>ó</w:t>
      </w:r>
      <w:r w:rsidRPr="00F0059D">
        <w:rPr>
          <w:rFonts w:ascii="Arial" w:hAnsi="Arial" w:cs="Arial"/>
          <w:lang w:val="es-CO"/>
        </w:rPr>
        <w:t>n de estos ensayos ser</w:t>
      </w:r>
      <w:r w:rsidR="00716E1F" w:rsidRPr="00F0059D">
        <w:rPr>
          <w:rFonts w:ascii="Arial" w:hAnsi="Arial" w:cs="Arial"/>
          <w:lang w:val="es-CO"/>
        </w:rPr>
        <w:t>á</w:t>
      </w:r>
      <w:r w:rsidRPr="00F0059D">
        <w:rPr>
          <w:rFonts w:ascii="Arial" w:hAnsi="Arial" w:cs="Arial"/>
          <w:lang w:val="es-CO"/>
        </w:rPr>
        <w:t xml:space="preserve">n usados para realizar selecciones tempranas de los mejores </w:t>
      </w:r>
      <w:r w:rsidR="00716E1F" w:rsidRPr="00F0059D">
        <w:rPr>
          <w:rFonts w:ascii="Arial" w:hAnsi="Arial" w:cs="Arial"/>
          <w:lang w:val="es-CO"/>
        </w:rPr>
        <w:t>á</w:t>
      </w:r>
      <w:r w:rsidRPr="00F0059D">
        <w:rPr>
          <w:rFonts w:ascii="Arial" w:hAnsi="Arial" w:cs="Arial"/>
          <w:lang w:val="es-CO"/>
        </w:rPr>
        <w:t>rboles dentro de las mejores familias (primeros 5 a</w:t>
      </w:r>
      <w:r w:rsidR="00716E1F" w:rsidRPr="00F0059D">
        <w:rPr>
          <w:rFonts w:ascii="Arial" w:hAnsi="Arial" w:cs="Arial"/>
          <w:lang w:val="es-CO"/>
        </w:rPr>
        <w:t>ñ</w:t>
      </w:r>
      <w:r w:rsidRPr="00F0059D">
        <w:rPr>
          <w:rFonts w:ascii="Arial" w:hAnsi="Arial" w:cs="Arial"/>
          <w:lang w:val="es-CO"/>
        </w:rPr>
        <w:t xml:space="preserve">os). </w:t>
      </w:r>
    </w:p>
    <w:p w:rsidR="0059431D" w:rsidRPr="00F0059D" w:rsidRDefault="0059431D" w:rsidP="0036073F">
      <w:pPr>
        <w:jc w:val="both"/>
        <w:rPr>
          <w:rFonts w:ascii="Arial" w:hAnsi="Arial" w:cs="Arial"/>
          <w:lang w:val="es-CO"/>
        </w:rPr>
      </w:pPr>
    </w:p>
    <w:p w:rsidR="00C36CFF" w:rsidRPr="00177D2B" w:rsidRDefault="004C1728" w:rsidP="00177D2B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177D2B">
        <w:rPr>
          <w:rFonts w:ascii="Arial" w:hAnsi="Arial" w:cs="Arial"/>
          <w:b/>
        </w:rPr>
        <w:lastRenderedPageBreak/>
        <w:t xml:space="preserve">Procedimientos: </w:t>
      </w:r>
    </w:p>
    <w:p w:rsidR="004C1728" w:rsidRPr="004C1728" w:rsidRDefault="004C1728" w:rsidP="004C1728">
      <w:pPr>
        <w:jc w:val="both"/>
        <w:rPr>
          <w:rFonts w:ascii="Arial" w:hAnsi="Arial" w:cs="Arial"/>
          <w:b/>
        </w:rPr>
      </w:pPr>
    </w:p>
    <w:p w:rsidR="00C36CFF" w:rsidRPr="00F0059D" w:rsidRDefault="004C1728" w:rsidP="0036073F">
      <w:p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>Le</w:t>
      </w:r>
      <w:r w:rsidR="007D2CE5">
        <w:rPr>
          <w:rFonts w:ascii="Arial" w:hAnsi="Arial" w:cs="Arial"/>
          <w:lang w:val="es-CO"/>
        </w:rPr>
        <w:t>s</w:t>
      </w:r>
      <w:r w:rsidRPr="00F0059D">
        <w:rPr>
          <w:rFonts w:ascii="Arial" w:hAnsi="Arial" w:cs="Arial"/>
          <w:lang w:val="es-CO"/>
        </w:rPr>
        <w:t xml:space="preserve"> enviaremos a todos los miembros suficiente cantidad de semillas para el establecimiento de do</w:t>
      </w:r>
      <w:r w:rsidR="009C6D69" w:rsidRPr="00F0059D">
        <w:rPr>
          <w:rFonts w:ascii="Arial" w:hAnsi="Arial" w:cs="Arial"/>
          <w:lang w:val="es-CO"/>
        </w:rPr>
        <w:t>s ensayos. Los ensayos se deberá</w:t>
      </w:r>
      <w:r w:rsidRPr="00F0059D">
        <w:rPr>
          <w:rFonts w:ascii="Arial" w:hAnsi="Arial" w:cs="Arial"/>
          <w:lang w:val="es-CO"/>
        </w:rPr>
        <w:t xml:space="preserve">n plantar tan pronto como sea posible </w:t>
      </w:r>
      <w:r w:rsidR="009C6D69" w:rsidRPr="00F0059D">
        <w:rPr>
          <w:rFonts w:ascii="Arial" w:hAnsi="Arial" w:cs="Arial"/>
          <w:lang w:val="es-CO"/>
        </w:rPr>
        <w:t>despué</w:t>
      </w:r>
      <w:r w:rsidRPr="00F0059D">
        <w:rPr>
          <w:rFonts w:ascii="Arial" w:hAnsi="Arial" w:cs="Arial"/>
          <w:lang w:val="es-CO"/>
        </w:rPr>
        <w:t xml:space="preserve">s de recibir las semillas. Cada </w:t>
      </w:r>
      <w:r w:rsidR="009C6D69" w:rsidRPr="00F0059D">
        <w:rPr>
          <w:rFonts w:ascii="Arial" w:hAnsi="Arial" w:cs="Arial"/>
          <w:lang w:val="es-CO"/>
        </w:rPr>
        <w:t xml:space="preserve">miembro deberá </w:t>
      </w:r>
      <w:r w:rsidRPr="00F0059D">
        <w:rPr>
          <w:rFonts w:ascii="Arial" w:hAnsi="Arial" w:cs="Arial"/>
          <w:lang w:val="es-CO"/>
        </w:rPr>
        <w:t xml:space="preserve">coordinar la siembra de las semillas teniendo en cuenta el tiempo de desarrollo de las </w:t>
      </w:r>
      <w:r w:rsidR="009C6D69" w:rsidRPr="00F0059D">
        <w:rPr>
          <w:rFonts w:ascii="Arial" w:hAnsi="Arial" w:cs="Arial"/>
          <w:lang w:val="es-CO"/>
        </w:rPr>
        <w:t>e</w:t>
      </w:r>
      <w:r w:rsidRPr="00F0059D">
        <w:rPr>
          <w:rFonts w:ascii="Arial" w:hAnsi="Arial" w:cs="Arial"/>
          <w:lang w:val="es-CO"/>
        </w:rPr>
        <w:t>species en el vivero</w:t>
      </w:r>
      <w:r w:rsidR="009C6D69" w:rsidRPr="00F0059D">
        <w:rPr>
          <w:rFonts w:ascii="Arial" w:hAnsi="Arial" w:cs="Arial"/>
          <w:lang w:val="es-CO"/>
        </w:rPr>
        <w:t xml:space="preserve"> y el inicio de la época de lluvias para plantació</w:t>
      </w:r>
      <w:r w:rsidRPr="00F0059D">
        <w:rPr>
          <w:rFonts w:ascii="Arial" w:hAnsi="Arial" w:cs="Arial"/>
          <w:lang w:val="es-CO"/>
        </w:rPr>
        <w:t xml:space="preserve">n. </w:t>
      </w:r>
      <w:r w:rsidR="009B5EA3" w:rsidRPr="00F0059D">
        <w:rPr>
          <w:rFonts w:ascii="Arial" w:hAnsi="Arial" w:cs="Arial"/>
          <w:lang w:val="es-CO"/>
        </w:rPr>
        <w:t xml:space="preserve">El objetivo es tener todos los ensayos plantados en el campo para el 2010. </w:t>
      </w:r>
      <w:r w:rsidRPr="00F0059D">
        <w:rPr>
          <w:rFonts w:ascii="Arial" w:hAnsi="Arial" w:cs="Arial"/>
          <w:lang w:val="es-CO"/>
        </w:rPr>
        <w:t xml:space="preserve"> </w:t>
      </w:r>
    </w:p>
    <w:p w:rsidR="00EA5F4C" w:rsidRPr="00F0059D" w:rsidRDefault="00EA5F4C" w:rsidP="0036073F">
      <w:pPr>
        <w:jc w:val="both"/>
        <w:rPr>
          <w:rFonts w:ascii="Arial" w:hAnsi="Arial" w:cs="Arial"/>
          <w:b/>
          <w:lang w:val="es-CO"/>
        </w:rPr>
      </w:pPr>
    </w:p>
    <w:p w:rsidR="00AA4BFB" w:rsidRPr="00177D2B" w:rsidRDefault="0077319D" w:rsidP="00177D2B">
      <w:pPr>
        <w:pStyle w:val="ListParagraph"/>
        <w:numPr>
          <w:ilvl w:val="1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Diseño estadí</w:t>
      </w:r>
      <w:r w:rsidR="00177D2B" w:rsidRPr="00177D2B">
        <w:rPr>
          <w:rFonts w:ascii="Arial" w:hAnsi="Arial" w:cs="Arial"/>
          <w:b/>
        </w:rPr>
        <w:t>stico de los ensayos</w:t>
      </w:r>
    </w:p>
    <w:p w:rsidR="00177D2B" w:rsidRDefault="00177D2B" w:rsidP="00177D2B">
      <w:pPr>
        <w:jc w:val="both"/>
        <w:rPr>
          <w:rFonts w:ascii="Arial" w:hAnsi="Arial" w:cs="Arial"/>
          <w:b/>
        </w:rPr>
      </w:pPr>
    </w:p>
    <w:p w:rsidR="00853BC7" w:rsidRPr="00F0059D" w:rsidRDefault="00177D2B" w:rsidP="00177D2B">
      <w:p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>Cada ensayo tendr</w:t>
      </w:r>
      <w:r w:rsidR="0077319D" w:rsidRPr="00F0059D">
        <w:rPr>
          <w:rFonts w:ascii="Arial" w:hAnsi="Arial" w:cs="Arial"/>
          <w:lang w:val="es-CO"/>
        </w:rPr>
        <w:t>á 10 ré</w:t>
      </w:r>
      <w:r w:rsidRPr="00F0059D">
        <w:rPr>
          <w:rFonts w:ascii="Arial" w:hAnsi="Arial" w:cs="Arial"/>
          <w:lang w:val="es-CO"/>
        </w:rPr>
        <w:t>plicas, con parcelas en h</w:t>
      </w:r>
      <w:r w:rsidR="0077319D" w:rsidRPr="00F0059D">
        <w:rPr>
          <w:rFonts w:ascii="Arial" w:hAnsi="Arial" w:cs="Arial"/>
          <w:lang w:val="es-CO"/>
        </w:rPr>
        <w:t>ileras de 6 á</w:t>
      </w:r>
      <w:r w:rsidRPr="00F0059D">
        <w:rPr>
          <w:rFonts w:ascii="Arial" w:hAnsi="Arial" w:cs="Arial"/>
          <w:lang w:val="es-CO"/>
        </w:rPr>
        <w:t>rboles por familia</w:t>
      </w:r>
      <w:r w:rsidR="0077319D" w:rsidRPr="00F0059D">
        <w:rPr>
          <w:rFonts w:ascii="Arial" w:hAnsi="Arial" w:cs="Arial"/>
          <w:lang w:val="es-CO"/>
        </w:rPr>
        <w:t xml:space="preserve"> (60 á</w:t>
      </w:r>
      <w:r w:rsidRPr="00F0059D">
        <w:rPr>
          <w:rFonts w:ascii="Arial" w:hAnsi="Arial" w:cs="Arial"/>
          <w:lang w:val="es-CO"/>
        </w:rPr>
        <w:t>r</w:t>
      </w:r>
      <w:r w:rsidR="0077319D" w:rsidRPr="00F0059D">
        <w:rPr>
          <w:rFonts w:ascii="Arial" w:hAnsi="Arial" w:cs="Arial"/>
          <w:lang w:val="es-CO"/>
        </w:rPr>
        <w:t>boles por familia). De las 10 réplicas, 5 será</w:t>
      </w:r>
      <w:r w:rsidRPr="00F0059D">
        <w:rPr>
          <w:rFonts w:ascii="Arial" w:hAnsi="Arial" w:cs="Arial"/>
          <w:lang w:val="es-CO"/>
        </w:rPr>
        <w:t>n manejadas exclusi</w:t>
      </w:r>
      <w:r w:rsidR="0077319D" w:rsidRPr="00F0059D">
        <w:rPr>
          <w:rFonts w:ascii="Arial" w:hAnsi="Arial" w:cs="Arial"/>
          <w:lang w:val="es-CO"/>
        </w:rPr>
        <w:t>vamente para evaluar el desempeñ</w:t>
      </w:r>
      <w:r w:rsidRPr="00F0059D">
        <w:rPr>
          <w:rFonts w:ascii="Arial" w:hAnsi="Arial" w:cs="Arial"/>
          <w:lang w:val="es-CO"/>
        </w:rPr>
        <w:t xml:space="preserve">o </w:t>
      </w:r>
      <w:r w:rsidR="0077319D" w:rsidRPr="00F0059D">
        <w:rPr>
          <w:rFonts w:ascii="Arial" w:hAnsi="Arial" w:cs="Arial"/>
          <w:lang w:val="es-CO"/>
        </w:rPr>
        <w:t>gené</w:t>
      </w:r>
      <w:r w:rsidRPr="00F0059D">
        <w:rPr>
          <w:rFonts w:ascii="Arial" w:hAnsi="Arial" w:cs="Arial"/>
          <w:lang w:val="es-CO"/>
        </w:rPr>
        <w:t xml:space="preserve">tico de los </w:t>
      </w:r>
      <w:r w:rsidR="0077319D" w:rsidRPr="00F0059D">
        <w:rPr>
          <w:rFonts w:ascii="Arial" w:hAnsi="Arial" w:cs="Arial"/>
          <w:lang w:val="es-CO"/>
        </w:rPr>
        <w:t>á</w:t>
      </w:r>
      <w:r w:rsidRPr="00F0059D">
        <w:rPr>
          <w:rFonts w:ascii="Arial" w:hAnsi="Arial" w:cs="Arial"/>
          <w:lang w:val="es-CO"/>
        </w:rPr>
        <w:t>rboles. Las otras 5 r</w:t>
      </w:r>
      <w:r w:rsidR="0077319D" w:rsidRPr="00F0059D">
        <w:rPr>
          <w:rFonts w:ascii="Arial" w:hAnsi="Arial" w:cs="Arial"/>
          <w:lang w:val="es-CO"/>
        </w:rPr>
        <w:t>éplicas recibirá</w:t>
      </w:r>
      <w:r w:rsidRPr="00F0059D">
        <w:rPr>
          <w:rFonts w:ascii="Arial" w:hAnsi="Arial" w:cs="Arial"/>
          <w:lang w:val="es-CO"/>
        </w:rPr>
        <w:t>n el mismo manejo hasta el primer aclareo. Despu</w:t>
      </w:r>
      <w:r w:rsidR="0077319D" w:rsidRPr="00F0059D">
        <w:rPr>
          <w:rFonts w:ascii="Arial" w:hAnsi="Arial" w:cs="Arial"/>
          <w:lang w:val="es-CO"/>
        </w:rPr>
        <w:t>é</w:t>
      </w:r>
      <w:r w:rsidRPr="00F0059D">
        <w:rPr>
          <w:rFonts w:ascii="Arial" w:hAnsi="Arial" w:cs="Arial"/>
          <w:lang w:val="es-CO"/>
        </w:rPr>
        <w:t>s</w:t>
      </w:r>
      <w:r w:rsidR="0077319D" w:rsidRPr="00F0059D">
        <w:rPr>
          <w:rFonts w:ascii="Arial" w:hAnsi="Arial" w:cs="Arial"/>
          <w:lang w:val="es-CO"/>
        </w:rPr>
        <w:t xml:space="preserve"> del primer aclareo, se aplicará</w:t>
      </w:r>
      <w:r w:rsidRPr="00F0059D">
        <w:rPr>
          <w:rFonts w:ascii="Arial" w:hAnsi="Arial" w:cs="Arial"/>
          <w:lang w:val="es-CO"/>
        </w:rPr>
        <w:t xml:space="preserve">n varios tratamientos con fertilizante para evaluar la respuesta de los </w:t>
      </w:r>
      <w:r w:rsidR="00853BC7" w:rsidRPr="00F0059D">
        <w:rPr>
          <w:rFonts w:ascii="Arial" w:hAnsi="Arial" w:cs="Arial"/>
          <w:lang w:val="es-CO"/>
        </w:rPr>
        <w:t xml:space="preserve">diferentes </w:t>
      </w:r>
      <w:r w:rsidR="0077319D" w:rsidRPr="00F0059D">
        <w:rPr>
          <w:rFonts w:ascii="Arial" w:hAnsi="Arial" w:cs="Arial"/>
          <w:lang w:val="es-CO"/>
        </w:rPr>
        <w:t>genotipos a la adició</w:t>
      </w:r>
      <w:r w:rsidRPr="00F0059D">
        <w:rPr>
          <w:rFonts w:ascii="Arial" w:hAnsi="Arial" w:cs="Arial"/>
          <w:lang w:val="es-CO"/>
        </w:rPr>
        <w:t>n de nutrient</w:t>
      </w:r>
      <w:r w:rsidR="0077319D" w:rsidRPr="00F0059D">
        <w:rPr>
          <w:rFonts w:ascii="Arial" w:hAnsi="Arial" w:cs="Arial"/>
          <w:lang w:val="es-CO"/>
        </w:rPr>
        <w:t>e</w:t>
      </w:r>
      <w:r w:rsidRPr="00F0059D">
        <w:rPr>
          <w:rFonts w:ascii="Arial" w:hAnsi="Arial" w:cs="Arial"/>
          <w:lang w:val="es-CO"/>
        </w:rPr>
        <w:t xml:space="preserve">s. </w:t>
      </w:r>
      <w:r w:rsidR="0077319D" w:rsidRPr="00F0059D">
        <w:rPr>
          <w:rFonts w:ascii="Arial" w:hAnsi="Arial" w:cs="Arial"/>
          <w:lang w:val="es-CO"/>
        </w:rPr>
        <w:t>Entender cómo la variació</w:t>
      </w:r>
      <w:r w:rsidR="00853BC7" w:rsidRPr="00F0059D">
        <w:rPr>
          <w:rFonts w:ascii="Arial" w:hAnsi="Arial" w:cs="Arial"/>
          <w:lang w:val="es-CO"/>
        </w:rPr>
        <w:t>n gen</w:t>
      </w:r>
      <w:r w:rsidR="0077319D" w:rsidRPr="00F0059D">
        <w:rPr>
          <w:rFonts w:ascii="Arial" w:hAnsi="Arial" w:cs="Arial"/>
          <w:lang w:val="es-CO"/>
        </w:rPr>
        <w:t>é</w:t>
      </w:r>
      <w:r w:rsidR="00853BC7" w:rsidRPr="00F0059D">
        <w:rPr>
          <w:rFonts w:ascii="Arial" w:hAnsi="Arial" w:cs="Arial"/>
          <w:lang w:val="es-CO"/>
        </w:rPr>
        <w:t>tica en crecimiento y otras caracter</w:t>
      </w:r>
      <w:r w:rsidR="0077319D" w:rsidRPr="00F0059D">
        <w:rPr>
          <w:rFonts w:ascii="Arial" w:hAnsi="Arial" w:cs="Arial"/>
          <w:lang w:val="es-CO"/>
        </w:rPr>
        <w:t>í</w:t>
      </w:r>
      <w:r w:rsidR="00853BC7" w:rsidRPr="00F0059D">
        <w:rPr>
          <w:rFonts w:ascii="Arial" w:hAnsi="Arial" w:cs="Arial"/>
          <w:lang w:val="es-CO"/>
        </w:rPr>
        <w:t>sticas responde</w:t>
      </w:r>
      <w:r w:rsidR="007D2CE5">
        <w:rPr>
          <w:rFonts w:ascii="Arial" w:hAnsi="Arial" w:cs="Arial"/>
          <w:lang w:val="es-CO"/>
        </w:rPr>
        <w:t>n</w:t>
      </w:r>
      <w:r w:rsidR="00853BC7" w:rsidRPr="00F0059D">
        <w:rPr>
          <w:rFonts w:ascii="Arial" w:hAnsi="Arial" w:cs="Arial"/>
          <w:lang w:val="es-CO"/>
        </w:rPr>
        <w:t xml:space="preserve"> a los cambios en la d</w:t>
      </w:r>
      <w:r w:rsidR="0077319D" w:rsidRPr="00F0059D">
        <w:rPr>
          <w:rFonts w:ascii="Arial" w:hAnsi="Arial" w:cs="Arial"/>
          <w:lang w:val="es-CO"/>
        </w:rPr>
        <w:t>isponibilidad de recursos deberí</w:t>
      </w:r>
      <w:r w:rsidR="00853BC7" w:rsidRPr="00F0059D">
        <w:rPr>
          <w:rFonts w:ascii="Arial" w:hAnsi="Arial" w:cs="Arial"/>
          <w:lang w:val="es-CO"/>
        </w:rPr>
        <w:t>a ser un factor muy importante en las decisiones de manejo forestal.</w:t>
      </w:r>
    </w:p>
    <w:p w:rsidR="00853BC7" w:rsidRPr="00F0059D" w:rsidRDefault="00853BC7" w:rsidP="00177D2B">
      <w:pPr>
        <w:jc w:val="both"/>
        <w:rPr>
          <w:rFonts w:ascii="Arial" w:hAnsi="Arial" w:cs="Arial"/>
          <w:lang w:val="es-CO"/>
        </w:rPr>
      </w:pPr>
    </w:p>
    <w:p w:rsidR="00853BC7" w:rsidRPr="00F0059D" w:rsidRDefault="00853BC7" w:rsidP="00177D2B">
      <w:p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>Cada uno de los dos ensayos deb</w:t>
      </w:r>
      <w:r w:rsidR="007D2CE5">
        <w:rPr>
          <w:rFonts w:ascii="Arial" w:hAnsi="Arial" w:cs="Arial"/>
          <w:lang w:val="es-CO"/>
        </w:rPr>
        <w:t>er</w:t>
      </w:r>
      <w:r w:rsidR="005A126B">
        <w:rPr>
          <w:rFonts w:ascii="Arial" w:hAnsi="Arial" w:cs="Arial"/>
          <w:lang w:val="es-CO"/>
        </w:rPr>
        <w:t>á</w:t>
      </w:r>
      <w:r w:rsidRPr="00F0059D">
        <w:rPr>
          <w:rFonts w:ascii="Arial" w:hAnsi="Arial" w:cs="Arial"/>
          <w:lang w:val="es-CO"/>
        </w:rPr>
        <w:t xml:space="preserve"> ser plantado en suelos diferentes</w:t>
      </w:r>
      <w:r w:rsidR="005A126B">
        <w:rPr>
          <w:rFonts w:ascii="Arial" w:hAnsi="Arial" w:cs="Arial"/>
          <w:lang w:val="es-CO"/>
        </w:rPr>
        <w:t>,</w:t>
      </w:r>
      <w:r w:rsidRPr="00F0059D">
        <w:rPr>
          <w:rFonts w:ascii="Arial" w:hAnsi="Arial" w:cs="Arial"/>
          <w:lang w:val="es-CO"/>
        </w:rPr>
        <w:t xml:space="preserve"> inclu</w:t>
      </w:r>
      <w:r w:rsidR="007D2CE5">
        <w:rPr>
          <w:rFonts w:ascii="Arial" w:hAnsi="Arial" w:cs="Arial"/>
          <w:lang w:val="es-CO"/>
        </w:rPr>
        <w:t>yendo</w:t>
      </w:r>
      <w:r w:rsidRPr="00F0059D">
        <w:rPr>
          <w:rFonts w:ascii="Arial" w:hAnsi="Arial" w:cs="Arial"/>
          <w:lang w:val="es-CO"/>
        </w:rPr>
        <w:t xml:space="preserve"> dos hileras de borde. Las hileras de borde pueden ser propagadas a partir de semillas</w:t>
      </w:r>
      <w:r w:rsidR="006D1BAC" w:rsidRPr="00F0059D">
        <w:rPr>
          <w:rFonts w:ascii="Arial" w:hAnsi="Arial" w:cs="Arial"/>
          <w:lang w:val="es-CO"/>
        </w:rPr>
        <w:t xml:space="preserve"> comerciales o de los á</w:t>
      </w:r>
      <w:r w:rsidRPr="00F0059D">
        <w:rPr>
          <w:rFonts w:ascii="Arial" w:hAnsi="Arial" w:cs="Arial"/>
          <w:lang w:val="es-CO"/>
        </w:rPr>
        <w:t xml:space="preserve">rboles sobrantes del ensayo. </w:t>
      </w:r>
      <w:r w:rsidR="006D06C3" w:rsidRPr="00F0059D">
        <w:rPr>
          <w:rFonts w:ascii="Arial" w:hAnsi="Arial" w:cs="Arial"/>
          <w:lang w:val="es-CO"/>
        </w:rPr>
        <w:t>Cada miembro es libre de utilizar las pr</w:t>
      </w:r>
      <w:r w:rsidR="006D1BAC" w:rsidRPr="00F0059D">
        <w:rPr>
          <w:rFonts w:ascii="Arial" w:hAnsi="Arial" w:cs="Arial"/>
          <w:lang w:val="es-CO"/>
        </w:rPr>
        <w:t>á</w:t>
      </w:r>
      <w:r w:rsidR="006D06C3" w:rsidRPr="00F0059D">
        <w:rPr>
          <w:rFonts w:ascii="Arial" w:hAnsi="Arial" w:cs="Arial"/>
          <w:lang w:val="es-CO"/>
        </w:rPr>
        <w:t xml:space="preserve">cticas operacionales que actualmente </w:t>
      </w:r>
      <w:r w:rsidR="00E040ED" w:rsidRPr="00F0059D">
        <w:rPr>
          <w:rFonts w:ascii="Arial" w:hAnsi="Arial" w:cs="Arial"/>
          <w:lang w:val="es-CO"/>
        </w:rPr>
        <w:t>desarrolla en sus plantaciones comerciales para el establecim</w:t>
      </w:r>
      <w:r w:rsidR="006D1BAC" w:rsidRPr="00F0059D">
        <w:rPr>
          <w:rFonts w:ascii="Arial" w:hAnsi="Arial" w:cs="Arial"/>
          <w:lang w:val="es-CO"/>
        </w:rPr>
        <w:t>iento de los ensayos (preparació</w:t>
      </w:r>
      <w:r w:rsidR="00E040ED" w:rsidRPr="00F0059D">
        <w:rPr>
          <w:rFonts w:ascii="Arial" w:hAnsi="Arial" w:cs="Arial"/>
          <w:lang w:val="es-CO"/>
        </w:rPr>
        <w:t xml:space="preserve">n de sitio, </w:t>
      </w:r>
      <w:r w:rsidR="006D1BAC" w:rsidRPr="00F0059D">
        <w:rPr>
          <w:rFonts w:ascii="Arial" w:hAnsi="Arial" w:cs="Arial"/>
          <w:lang w:val="es-CO"/>
        </w:rPr>
        <w:t>fertilizació</w:t>
      </w:r>
      <w:r w:rsidR="008B3A6D" w:rsidRPr="00F0059D">
        <w:rPr>
          <w:rFonts w:ascii="Arial" w:hAnsi="Arial" w:cs="Arial"/>
          <w:lang w:val="es-CO"/>
        </w:rPr>
        <w:t>n al plantar, m</w:t>
      </w:r>
      <w:r w:rsidR="006D1BAC" w:rsidRPr="00F0059D">
        <w:rPr>
          <w:rFonts w:ascii="Arial" w:hAnsi="Arial" w:cs="Arial"/>
          <w:lang w:val="es-CO"/>
        </w:rPr>
        <w:t>étodo de plantación). Camcore le enviará</w:t>
      </w:r>
      <w:r w:rsidR="008B3A6D" w:rsidRPr="00F0059D">
        <w:rPr>
          <w:rFonts w:ascii="Arial" w:hAnsi="Arial" w:cs="Arial"/>
          <w:lang w:val="es-CO"/>
        </w:rPr>
        <w:t xml:space="preserve"> el dise</w:t>
      </w:r>
      <w:r w:rsidR="006D1BAC" w:rsidRPr="00F0059D">
        <w:rPr>
          <w:rFonts w:ascii="Arial" w:hAnsi="Arial" w:cs="Arial"/>
          <w:lang w:val="es-CO"/>
        </w:rPr>
        <w:t>ñ</w:t>
      </w:r>
      <w:r w:rsidR="008B3A6D" w:rsidRPr="00F0059D">
        <w:rPr>
          <w:rFonts w:ascii="Arial" w:hAnsi="Arial" w:cs="Arial"/>
          <w:lang w:val="es-CO"/>
        </w:rPr>
        <w:t xml:space="preserve">o de los ensayos a cada miembro. </w:t>
      </w:r>
      <w:r w:rsidRPr="00F0059D">
        <w:rPr>
          <w:rFonts w:ascii="Arial" w:hAnsi="Arial" w:cs="Arial"/>
          <w:lang w:val="es-CO"/>
        </w:rPr>
        <w:t xml:space="preserve"> </w:t>
      </w:r>
    </w:p>
    <w:p w:rsidR="00853BC7" w:rsidRPr="00F0059D" w:rsidRDefault="00853BC7" w:rsidP="00177D2B">
      <w:pPr>
        <w:jc w:val="both"/>
        <w:rPr>
          <w:rFonts w:ascii="Arial" w:hAnsi="Arial" w:cs="Arial"/>
          <w:lang w:val="es-CO"/>
        </w:rPr>
      </w:pPr>
    </w:p>
    <w:p w:rsidR="005B0A94" w:rsidRPr="00F0059D" w:rsidRDefault="005B0A94" w:rsidP="005B0A94">
      <w:pPr>
        <w:pStyle w:val="ListParagraph"/>
        <w:numPr>
          <w:ilvl w:val="1"/>
          <w:numId w:val="6"/>
        </w:numPr>
        <w:jc w:val="both"/>
        <w:rPr>
          <w:rFonts w:ascii="Arial" w:hAnsi="Arial" w:cs="Arial"/>
          <w:b/>
          <w:lang w:val="es-CO"/>
        </w:rPr>
      </w:pPr>
      <w:r w:rsidRPr="00F0059D">
        <w:rPr>
          <w:rFonts w:ascii="Arial" w:hAnsi="Arial" w:cs="Arial"/>
          <w:b/>
          <w:lang w:val="es-CO"/>
        </w:rPr>
        <w:t>Manejo y med</w:t>
      </w:r>
      <w:r w:rsidR="00EF6915" w:rsidRPr="00F0059D">
        <w:rPr>
          <w:rFonts w:ascii="Arial" w:hAnsi="Arial" w:cs="Arial"/>
          <w:b/>
          <w:lang w:val="es-CO"/>
        </w:rPr>
        <w:t>ició</w:t>
      </w:r>
      <w:r w:rsidRPr="00F0059D">
        <w:rPr>
          <w:rFonts w:ascii="Arial" w:hAnsi="Arial" w:cs="Arial"/>
          <w:b/>
          <w:lang w:val="es-CO"/>
        </w:rPr>
        <w:t>n de los ensayos</w:t>
      </w:r>
    </w:p>
    <w:p w:rsidR="005B0A94" w:rsidRPr="00F0059D" w:rsidRDefault="005B0A94" w:rsidP="005B0A94">
      <w:pPr>
        <w:jc w:val="both"/>
        <w:rPr>
          <w:rFonts w:ascii="Arial" w:hAnsi="Arial" w:cs="Arial"/>
          <w:lang w:val="es-CO"/>
        </w:rPr>
      </w:pPr>
    </w:p>
    <w:p w:rsidR="00177D2B" w:rsidRPr="00F0059D" w:rsidRDefault="00EF6915" w:rsidP="005B0A94">
      <w:p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>El espaciamiento de l</w:t>
      </w:r>
      <w:r w:rsidR="005A126B">
        <w:rPr>
          <w:rFonts w:ascii="Arial" w:hAnsi="Arial" w:cs="Arial"/>
          <w:lang w:val="es-CO"/>
        </w:rPr>
        <w:t>os árboles en los ensayos deberá</w:t>
      </w:r>
      <w:r w:rsidR="005B0A94" w:rsidRPr="00F0059D">
        <w:rPr>
          <w:rFonts w:ascii="Arial" w:hAnsi="Arial" w:cs="Arial"/>
          <w:lang w:val="es-CO"/>
        </w:rPr>
        <w:t xml:space="preserve"> ser 3m x 3m, para una densidad inicial de 1,111 </w:t>
      </w:r>
      <w:r w:rsidRPr="00F0059D">
        <w:rPr>
          <w:rFonts w:ascii="Arial" w:hAnsi="Arial" w:cs="Arial"/>
          <w:lang w:val="es-CO"/>
        </w:rPr>
        <w:t>á</w:t>
      </w:r>
      <w:r w:rsidR="005B0A94" w:rsidRPr="00F0059D">
        <w:rPr>
          <w:rFonts w:ascii="Arial" w:hAnsi="Arial" w:cs="Arial"/>
          <w:lang w:val="es-CO"/>
        </w:rPr>
        <w:t xml:space="preserve">rboles plantados por ha. Con esta densidad y las dos hileras de borde, el </w:t>
      </w:r>
      <w:r w:rsidRPr="00F0059D">
        <w:rPr>
          <w:rFonts w:ascii="Arial" w:hAnsi="Arial" w:cs="Arial"/>
          <w:lang w:val="es-CO"/>
        </w:rPr>
        <w:t>área total por ensayo será</w:t>
      </w:r>
      <w:r w:rsidR="005B0A94" w:rsidRPr="00F0059D">
        <w:rPr>
          <w:rFonts w:ascii="Arial" w:hAnsi="Arial" w:cs="Arial"/>
          <w:lang w:val="es-CO"/>
        </w:rPr>
        <w:t xml:space="preserve"> aproximadamente 4.0 has. Est</w:t>
      </w:r>
      <w:r w:rsidRPr="00F0059D">
        <w:rPr>
          <w:rFonts w:ascii="Arial" w:hAnsi="Arial" w:cs="Arial"/>
          <w:lang w:val="es-CO"/>
        </w:rPr>
        <w:t>o significa que cada compañía deberí</w:t>
      </w:r>
      <w:r w:rsidR="005B0A94" w:rsidRPr="00F0059D">
        <w:rPr>
          <w:rFonts w:ascii="Arial" w:hAnsi="Arial" w:cs="Arial"/>
          <w:lang w:val="es-CO"/>
        </w:rPr>
        <w:t xml:space="preserve">a </w:t>
      </w:r>
      <w:r w:rsidRPr="00F0059D">
        <w:rPr>
          <w:rFonts w:ascii="Arial" w:hAnsi="Arial" w:cs="Arial"/>
          <w:lang w:val="es-CO"/>
        </w:rPr>
        <w:t>prepara</w:t>
      </w:r>
      <w:r w:rsidR="005B0A94" w:rsidRPr="00F0059D">
        <w:rPr>
          <w:rFonts w:ascii="Arial" w:hAnsi="Arial" w:cs="Arial"/>
          <w:lang w:val="es-CO"/>
        </w:rPr>
        <w:t xml:space="preserve">r 8 has para el establecimiento de los dos ensayos.  </w:t>
      </w:r>
      <w:r w:rsidR="00853BC7" w:rsidRPr="00F0059D">
        <w:rPr>
          <w:rFonts w:ascii="Arial" w:hAnsi="Arial" w:cs="Arial"/>
          <w:lang w:val="es-CO"/>
        </w:rPr>
        <w:t xml:space="preserve"> </w:t>
      </w:r>
      <w:r w:rsidR="00177D2B" w:rsidRPr="00F0059D">
        <w:rPr>
          <w:rFonts w:ascii="Arial" w:hAnsi="Arial" w:cs="Arial"/>
          <w:lang w:val="es-CO"/>
        </w:rPr>
        <w:t xml:space="preserve"> </w:t>
      </w:r>
    </w:p>
    <w:p w:rsidR="000955D7" w:rsidRPr="00F0059D" w:rsidRDefault="000955D7" w:rsidP="0036073F">
      <w:pPr>
        <w:jc w:val="both"/>
        <w:rPr>
          <w:rFonts w:ascii="Arial" w:hAnsi="Arial" w:cs="Arial"/>
          <w:b/>
          <w:lang w:val="es-CO"/>
        </w:rPr>
      </w:pPr>
    </w:p>
    <w:p w:rsidR="00DD26BD" w:rsidRPr="00F0059D" w:rsidRDefault="00636029" w:rsidP="0036073F">
      <w:p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>En ambos ensayos se deber</w:t>
      </w:r>
      <w:r w:rsidR="00206FDC" w:rsidRPr="00F0059D">
        <w:rPr>
          <w:rFonts w:ascii="Arial" w:hAnsi="Arial" w:cs="Arial"/>
          <w:lang w:val="es-CO"/>
        </w:rPr>
        <w:t>á</w:t>
      </w:r>
      <w:r w:rsidRPr="00F0059D">
        <w:rPr>
          <w:rFonts w:ascii="Arial" w:hAnsi="Arial" w:cs="Arial"/>
          <w:lang w:val="es-CO"/>
        </w:rPr>
        <w:t xml:space="preserve"> hacer un primer acla</w:t>
      </w:r>
      <w:r w:rsidR="00206FDC" w:rsidRPr="00F0059D">
        <w:rPr>
          <w:rFonts w:ascii="Arial" w:hAnsi="Arial" w:cs="Arial"/>
          <w:lang w:val="es-CO"/>
        </w:rPr>
        <w:t>reo cuando al menos 50% de los á</w:t>
      </w:r>
      <w:r w:rsidRPr="00F0059D">
        <w:rPr>
          <w:rFonts w:ascii="Arial" w:hAnsi="Arial" w:cs="Arial"/>
          <w:lang w:val="es-CO"/>
        </w:rPr>
        <w:t xml:space="preserve">rboles alcancen una altura promedio entre 9.0 &amp; 9.5 metros o cuando haya cerramiento de la copa </w:t>
      </w:r>
      <w:r w:rsidR="00206FDC" w:rsidRPr="00F0059D">
        <w:rPr>
          <w:rFonts w:ascii="Arial" w:hAnsi="Arial" w:cs="Arial"/>
          <w:lang w:val="es-CO"/>
        </w:rPr>
        <w:t>de los á</w:t>
      </w:r>
      <w:r w:rsidRPr="00F0059D">
        <w:rPr>
          <w:rFonts w:ascii="Arial" w:hAnsi="Arial" w:cs="Arial"/>
          <w:lang w:val="es-CO"/>
        </w:rPr>
        <w:t>rboles</w:t>
      </w:r>
      <w:r w:rsidR="00F6403E" w:rsidRPr="00F0059D">
        <w:rPr>
          <w:rFonts w:ascii="Arial" w:hAnsi="Arial" w:cs="Arial"/>
          <w:lang w:val="es-CO"/>
        </w:rPr>
        <w:t>, independientemente de la calidad de sitio. Esto significa que el primer aclareo</w:t>
      </w:r>
      <w:r w:rsidR="00206FDC" w:rsidRPr="00F0059D">
        <w:rPr>
          <w:rFonts w:ascii="Arial" w:hAnsi="Arial" w:cs="Arial"/>
          <w:lang w:val="es-CO"/>
        </w:rPr>
        <w:t xml:space="preserve"> no</w:t>
      </w:r>
      <w:r w:rsidR="00F6403E" w:rsidRPr="00F0059D">
        <w:rPr>
          <w:rFonts w:ascii="Arial" w:hAnsi="Arial" w:cs="Arial"/>
          <w:lang w:val="es-CO"/>
        </w:rPr>
        <w:t xml:space="preserve"> tiene que hacerse a la misma edad para dos ensayos diferentes. A mayor crecimiento, el aclareo debe hacerse m</w:t>
      </w:r>
      <w:r w:rsidR="00B06B77" w:rsidRPr="00F0059D">
        <w:rPr>
          <w:rFonts w:ascii="Arial" w:hAnsi="Arial" w:cs="Arial"/>
          <w:lang w:val="es-CO"/>
        </w:rPr>
        <w:t>as r</w:t>
      </w:r>
      <w:r w:rsidR="005A126B">
        <w:rPr>
          <w:rFonts w:ascii="Arial" w:hAnsi="Arial" w:cs="Arial"/>
          <w:lang w:val="es-CO"/>
        </w:rPr>
        <w:t>ápido (muy probablemente</w:t>
      </w:r>
      <w:r w:rsidR="00206FDC" w:rsidRPr="00F0059D">
        <w:rPr>
          <w:rFonts w:ascii="Arial" w:hAnsi="Arial" w:cs="Arial"/>
          <w:lang w:val="es-CO"/>
        </w:rPr>
        <w:t xml:space="preserve"> el primer aclareo deberí</w:t>
      </w:r>
      <w:r w:rsidR="00B06B77" w:rsidRPr="00F0059D">
        <w:rPr>
          <w:rFonts w:ascii="Arial" w:hAnsi="Arial" w:cs="Arial"/>
          <w:lang w:val="es-CO"/>
        </w:rPr>
        <w:t>a ocurrir entre los 2 y los 5 a</w:t>
      </w:r>
      <w:r w:rsidR="00206FDC" w:rsidRPr="00F0059D">
        <w:rPr>
          <w:rFonts w:ascii="Arial" w:hAnsi="Arial" w:cs="Arial"/>
          <w:lang w:val="es-CO"/>
        </w:rPr>
        <w:t>ñ</w:t>
      </w:r>
      <w:r w:rsidR="00B06B77" w:rsidRPr="00F0059D">
        <w:rPr>
          <w:rFonts w:ascii="Arial" w:hAnsi="Arial" w:cs="Arial"/>
          <w:lang w:val="es-CO"/>
        </w:rPr>
        <w:t>os de</w:t>
      </w:r>
      <w:r w:rsidR="00206FDC" w:rsidRPr="00F0059D">
        <w:rPr>
          <w:rFonts w:ascii="Arial" w:hAnsi="Arial" w:cs="Arial"/>
          <w:lang w:val="es-CO"/>
        </w:rPr>
        <w:t xml:space="preserve"> edad). El primer aclareo deberí</w:t>
      </w:r>
      <w:r w:rsidR="00B06B77" w:rsidRPr="00F0059D">
        <w:rPr>
          <w:rFonts w:ascii="Arial" w:hAnsi="Arial" w:cs="Arial"/>
          <w:lang w:val="es-CO"/>
        </w:rPr>
        <w:t xml:space="preserve">a ser un aclareo </w:t>
      </w:r>
      <w:r w:rsidR="00206FDC" w:rsidRPr="00F0059D">
        <w:rPr>
          <w:rFonts w:ascii="Arial" w:hAnsi="Arial" w:cs="Arial"/>
          <w:lang w:val="es-CO"/>
        </w:rPr>
        <w:t>gené</w:t>
      </w:r>
      <w:r w:rsidR="00B75A7E" w:rsidRPr="00F0059D">
        <w:rPr>
          <w:rFonts w:ascii="Arial" w:hAnsi="Arial" w:cs="Arial"/>
          <w:lang w:val="es-CO"/>
        </w:rPr>
        <w:t xml:space="preserve">tico, removiendo 3 de los 6 </w:t>
      </w:r>
      <w:r w:rsidR="00206FDC" w:rsidRPr="00F0059D">
        <w:rPr>
          <w:rFonts w:ascii="Arial" w:hAnsi="Arial" w:cs="Arial"/>
          <w:lang w:val="es-CO"/>
        </w:rPr>
        <w:t>á</w:t>
      </w:r>
      <w:r w:rsidR="00B75A7E" w:rsidRPr="00F0059D">
        <w:rPr>
          <w:rFonts w:ascii="Arial" w:hAnsi="Arial" w:cs="Arial"/>
          <w:lang w:val="es-CO"/>
        </w:rPr>
        <w:t xml:space="preserve">rboles por familia por parcela. </w:t>
      </w:r>
      <w:r w:rsidR="00206FDC" w:rsidRPr="00F0059D">
        <w:rPr>
          <w:rFonts w:ascii="Arial" w:hAnsi="Arial" w:cs="Arial"/>
          <w:lang w:val="es-CO"/>
        </w:rPr>
        <w:t>Habrá</w:t>
      </w:r>
      <w:r w:rsidR="0088671B" w:rsidRPr="00F0059D">
        <w:rPr>
          <w:rFonts w:ascii="Arial" w:hAnsi="Arial" w:cs="Arial"/>
          <w:lang w:val="es-CO"/>
        </w:rPr>
        <w:t xml:space="preserve"> un </w:t>
      </w:r>
      <w:r w:rsidR="00206FDC" w:rsidRPr="00F0059D">
        <w:rPr>
          <w:rFonts w:ascii="Arial" w:hAnsi="Arial" w:cs="Arial"/>
          <w:lang w:val="es-CO"/>
        </w:rPr>
        <w:t>s</w:t>
      </w:r>
      <w:r w:rsidR="0088671B" w:rsidRPr="00F0059D">
        <w:rPr>
          <w:rFonts w:ascii="Arial" w:hAnsi="Arial" w:cs="Arial"/>
          <w:lang w:val="es-CO"/>
        </w:rPr>
        <w:t xml:space="preserve">egundo aclareo cuando al menos 50% de los </w:t>
      </w:r>
      <w:r w:rsidR="00206FDC" w:rsidRPr="00F0059D">
        <w:rPr>
          <w:rFonts w:ascii="Arial" w:hAnsi="Arial" w:cs="Arial"/>
          <w:lang w:val="es-CO"/>
        </w:rPr>
        <w:t>á</w:t>
      </w:r>
      <w:r w:rsidR="00A7136F">
        <w:rPr>
          <w:rFonts w:ascii="Arial" w:hAnsi="Arial" w:cs="Arial"/>
          <w:lang w:val="es-CO"/>
        </w:rPr>
        <w:t>r</w:t>
      </w:r>
      <w:r w:rsidR="00206FDC" w:rsidRPr="00F0059D">
        <w:rPr>
          <w:rFonts w:ascii="Arial" w:hAnsi="Arial" w:cs="Arial"/>
          <w:lang w:val="es-CO"/>
        </w:rPr>
        <w:t>boles alcance</w:t>
      </w:r>
      <w:r w:rsidR="0088671B" w:rsidRPr="00F0059D">
        <w:rPr>
          <w:rFonts w:ascii="Arial" w:hAnsi="Arial" w:cs="Arial"/>
          <w:lang w:val="es-CO"/>
        </w:rPr>
        <w:t>n una altura entre los 17 y 18 metros. Esto</w:t>
      </w:r>
      <w:r w:rsidR="00A066E2" w:rsidRPr="00F0059D">
        <w:rPr>
          <w:rFonts w:ascii="Arial" w:hAnsi="Arial" w:cs="Arial"/>
          <w:lang w:val="es-CO"/>
        </w:rPr>
        <w:t>,</w:t>
      </w:r>
      <w:r w:rsidR="0088671B" w:rsidRPr="00F0059D">
        <w:rPr>
          <w:rFonts w:ascii="Arial" w:hAnsi="Arial" w:cs="Arial"/>
          <w:lang w:val="es-CO"/>
        </w:rPr>
        <w:t xml:space="preserve"> </w:t>
      </w:r>
      <w:r w:rsidR="0088671B" w:rsidRPr="00F0059D">
        <w:rPr>
          <w:rFonts w:ascii="Arial" w:hAnsi="Arial" w:cs="Arial"/>
          <w:lang w:val="es-CO"/>
        </w:rPr>
        <w:lastRenderedPageBreak/>
        <w:t xml:space="preserve">probablemente </w:t>
      </w:r>
      <w:r w:rsidR="00A066E2" w:rsidRPr="00F0059D">
        <w:rPr>
          <w:rFonts w:ascii="Arial" w:hAnsi="Arial" w:cs="Arial"/>
          <w:lang w:val="es-CO"/>
        </w:rPr>
        <w:t>sucederá entre los 6 y 10 añ</w:t>
      </w:r>
      <w:r w:rsidR="0088671B" w:rsidRPr="00F0059D">
        <w:rPr>
          <w:rFonts w:ascii="Arial" w:hAnsi="Arial" w:cs="Arial"/>
          <w:lang w:val="es-CO"/>
        </w:rPr>
        <w:t>os de edad, y</w:t>
      </w:r>
      <w:r w:rsidR="00A066E2" w:rsidRPr="00F0059D">
        <w:rPr>
          <w:rFonts w:ascii="Arial" w:hAnsi="Arial" w:cs="Arial"/>
          <w:lang w:val="es-CO"/>
        </w:rPr>
        <w:t xml:space="preserve"> la intensidad de aclareo deberí</w:t>
      </w:r>
      <w:r w:rsidR="0088671B" w:rsidRPr="00F0059D">
        <w:rPr>
          <w:rFonts w:ascii="Arial" w:hAnsi="Arial" w:cs="Arial"/>
          <w:lang w:val="es-CO"/>
        </w:rPr>
        <w:t>a ser aproxi</w:t>
      </w:r>
      <w:r w:rsidR="00A066E2" w:rsidRPr="00F0059D">
        <w:rPr>
          <w:rFonts w:ascii="Arial" w:hAnsi="Arial" w:cs="Arial"/>
          <w:lang w:val="es-CO"/>
        </w:rPr>
        <w:t>madamente 33% (mas tarde se dará</w:t>
      </w:r>
      <w:r w:rsidR="0088671B" w:rsidRPr="00F0059D">
        <w:rPr>
          <w:rFonts w:ascii="Arial" w:hAnsi="Arial" w:cs="Arial"/>
          <w:lang w:val="es-CO"/>
        </w:rPr>
        <w:t>n mas detalles sobre los m</w:t>
      </w:r>
      <w:r w:rsidR="00A066E2" w:rsidRPr="00F0059D">
        <w:rPr>
          <w:rFonts w:ascii="Arial" w:hAnsi="Arial" w:cs="Arial"/>
          <w:lang w:val="es-CO"/>
        </w:rPr>
        <w:t>é</w:t>
      </w:r>
      <w:r w:rsidR="0088671B" w:rsidRPr="00F0059D">
        <w:rPr>
          <w:rFonts w:ascii="Arial" w:hAnsi="Arial" w:cs="Arial"/>
          <w:lang w:val="es-CO"/>
        </w:rPr>
        <w:t xml:space="preserve">todos de aclareos). </w:t>
      </w:r>
      <w:r w:rsidR="00B75A7E" w:rsidRPr="00F0059D">
        <w:rPr>
          <w:rFonts w:ascii="Arial" w:hAnsi="Arial" w:cs="Arial"/>
          <w:lang w:val="es-CO"/>
        </w:rPr>
        <w:t xml:space="preserve"> </w:t>
      </w:r>
    </w:p>
    <w:p w:rsidR="00536598" w:rsidRPr="00F0059D" w:rsidRDefault="00536598" w:rsidP="0036073F">
      <w:pPr>
        <w:jc w:val="both"/>
        <w:rPr>
          <w:rFonts w:ascii="Arial" w:hAnsi="Arial" w:cs="Arial"/>
          <w:lang w:val="es-CO"/>
        </w:rPr>
      </w:pPr>
    </w:p>
    <w:p w:rsidR="00120956" w:rsidRPr="00F0059D" w:rsidRDefault="008A4E67" w:rsidP="0036073F">
      <w:p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>El calendario de medició</w:t>
      </w:r>
      <w:r w:rsidR="00CB5D6D" w:rsidRPr="00F0059D">
        <w:rPr>
          <w:rFonts w:ascii="Arial" w:hAnsi="Arial" w:cs="Arial"/>
          <w:lang w:val="es-CO"/>
        </w:rPr>
        <w:t>n de los ensayos es como sigue:</w:t>
      </w:r>
    </w:p>
    <w:p w:rsidR="00CB5D6D" w:rsidRPr="00F0059D" w:rsidRDefault="008A4E67" w:rsidP="00A22CBE">
      <w:pPr>
        <w:pStyle w:val="ListParagraph"/>
        <w:numPr>
          <w:ilvl w:val="0"/>
          <w:numId w:val="7"/>
        </w:numPr>
        <w:spacing w:before="120"/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>Sobrevivencia al añ</w:t>
      </w:r>
      <w:r w:rsidR="00CB5D6D" w:rsidRPr="00F0059D">
        <w:rPr>
          <w:rFonts w:ascii="Arial" w:hAnsi="Arial" w:cs="Arial"/>
          <w:lang w:val="es-CO"/>
        </w:rPr>
        <w:t>o de edad, tal como se hace con los otros ensayos de procedencia/progenie de Camcore.</w:t>
      </w:r>
    </w:p>
    <w:p w:rsidR="00CB5D6D" w:rsidRPr="00F0059D" w:rsidRDefault="008A4E67" w:rsidP="00A22CBE">
      <w:pPr>
        <w:pStyle w:val="ListParagraph"/>
        <w:numPr>
          <w:ilvl w:val="0"/>
          <w:numId w:val="7"/>
        </w:numPr>
        <w:spacing w:before="120"/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>Altura, diá</w:t>
      </w:r>
      <w:r w:rsidR="00CB5D6D" w:rsidRPr="00F0059D">
        <w:rPr>
          <w:rFonts w:ascii="Arial" w:hAnsi="Arial" w:cs="Arial"/>
          <w:lang w:val="es-CO"/>
        </w:rPr>
        <w:t>metro y forma del fuste antes del primer</w:t>
      </w:r>
      <w:r w:rsidR="003213E8" w:rsidRPr="00F0059D">
        <w:rPr>
          <w:rFonts w:ascii="Arial" w:hAnsi="Arial" w:cs="Arial"/>
          <w:lang w:val="es-CO"/>
        </w:rPr>
        <w:t>o</w:t>
      </w:r>
      <w:r w:rsidR="00CB5D6D" w:rsidRPr="00F0059D">
        <w:rPr>
          <w:rFonts w:ascii="Arial" w:hAnsi="Arial" w:cs="Arial"/>
          <w:lang w:val="es-CO"/>
        </w:rPr>
        <w:t xml:space="preserve"> y </w:t>
      </w:r>
      <w:r w:rsidR="003213E8" w:rsidRPr="00F0059D">
        <w:rPr>
          <w:rFonts w:ascii="Arial" w:hAnsi="Arial" w:cs="Arial"/>
          <w:lang w:val="es-CO"/>
        </w:rPr>
        <w:t>s</w:t>
      </w:r>
      <w:r w:rsidR="00CB5D6D" w:rsidRPr="00F0059D">
        <w:rPr>
          <w:rFonts w:ascii="Arial" w:hAnsi="Arial" w:cs="Arial"/>
          <w:lang w:val="es-CO"/>
        </w:rPr>
        <w:t>egundo aclareos respectivamente, independiente de la edad.</w:t>
      </w:r>
    </w:p>
    <w:p w:rsidR="00CB5D6D" w:rsidRPr="00F0059D" w:rsidRDefault="008A4E67" w:rsidP="00A22CBE">
      <w:pPr>
        <w:pStyle w:val="ListParagraph"/>
        <w:numPr>
          <w:ilvl w:val="0"/>
          <w:numId w:val="7"/>
        </w:numPr>
        <w:spacing w:before="120"/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>Altura, diá</w:t>
      </w:r>
      <w:r w:rsidR="00CB5D6D" w:rsidRPr="00F0059D">
        <w:rPr>
          <w:rFonts w:ascii="Arial" w:hAnsi="Arial" w:cs="Arial"/>
          <w:lang w:val="es-CO"/>
        </w:rPr>
        <w:t>me</w:t>
      </w:r>
      <w:r w:rsidRPr="00F0059D">
        <w:rPr>
          <w:rFonts w:ascii="Arial" w:hAnsi="Arial" w:cs="Arial"/>
          <w:lang w:val="es-CO"/>
        </w:rPr>
        <w:t>tro, forma del fuste y caracterí</w:t>
      </w:r>
      <w:r w:rsidR="00CB5D6D" w:rsidRPr="00F0059D">
        <w:rPr>
          <w:rFonts w:ascii="Arial" w:hAnsi="Arial" w:cs="Arial"/>
          <w:lang w:val="es-CO"/>
        </w:rPr>
        <w:t xml:space="preserve">sticas de las ramas y la copa (y posiblemente calidad de la </w:t>
      </w:r>
      <w:r w:rsidR="00A7136F">
        <w:rPr>
          <w:rFonts w:ascii="Arial" w:hAnsi="Arial" w:cs="Arial"/>
          <w:lang w:val="es-CO"/>
        </w:rPr>
        <w:t>m</w:t>
      </w:r>
      <w:r w:rsidR="00CB5D6D" w:rsidRPr="00F0059D">
        <w:rPr>
          <w:rFonts w:ascii="Arial" w:hAnsi="Arial" w:cs="Arial"/>
          <w:lang w:val="es-CO"/>
        </w:rPr>
        <w:t>adera)</w:t>
      </w:r>
      <w:r w:rsidRPr="00F0059D">
        <w:rPr>
          <w:rFonts w:ascii="Arial" w:hAnsi="Arial" w:cs="Arial"/>
          <w:lang w:val="es-CO"/>
        </w:rPr>
        <w:t xml:space="preserve"> a los 10 añ</w:t>
      </w:r>
      <w:r w:rsidR="00CB5D6D" w:rsidRPr="00F0059D">
        <w:rPr>
          <w:rFonts w:ascii="Arial" w:hAnsi="Arial" w:cs="Arial"/>
          <w:lang w:val="es-CO"/>
        </w:rPr>
        <w:t>os de edad.</w:t>
      </w:r>
    </w:p>
    <w:p w:rsidR="003213E8" w:rsidRPr="00F0059D" w:rsidRDefault="003213E8" w:rsidP="003213E8">
      <w:pPr>
        <w:jc w:val="both"/>
        <w:rPr>
          <w:rFonts w:ascii="Arial" w:hAnsi="Arial" w:cs="Arial"/>
          <w:lang w:val="es-CO"/>
        </w:rPr>
      </w:pPr>
    </w:p>
    <w:p w:rsidR="00CB5D6D" w:rsidRPr="00F0059D" w:rsidRDefault="00836B26" w:rsidP="00CB5D6D">
      <w:p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>Cada miembro tiene que enviar un “informe de establecimiento” a Willi Woodbridge en Camcore a mas tardar 6 meses despu</w:t>
      </w:r>
      <w:r w:rsidR="005037A0" w:rsidRPr="00F0059D">
        <w:rPr>
          <w:rFonts w:ascii="Arial" w:hAnsi="Arial" w:cs="Arial"/>
          <w:lang w:val="es-CO"/>
        </w:rPr>
        <w:t>é</w:t>
      </w:r>
      <w:r w:rsidRPr="00F0059D">
        <w:rPr>
          <w:rFonts w:ascii="Arial" w:hAnsi="Arial" w:cs="Arial"/>
          <w:lang w:val="es-CO"/>
        </w:rPr>
        <w:t xml:space="preserve">s de plantar los ensayos. El formato a usar para el informe de establecimiento es el mismo ya existente para otros ensayos con especies diferentes en Camcore. Ver archivo adjunto en este mensaje.  </w:t>
      </w:r>
    </w:p>
    <w:p w:rsidR="00E771A0" w:rsidRPr="00F0059D" w:rsidRDefault="00E771A0" w:rsidP="0036073F">
      <w:pPr>
        <w:jc w:val="both"/>
        <w:rPr>
          <w:rFonts w:ascii="Arial" w:hAnsi="Arial" w:cs="Arial"/>
          <w:lang w:val="es-CO"/>
        </w:rPr>
      </w:pPr>
    </w:p>
    <w:p w:rsidR="00D42531" w:rsidRPr="00F0059D" w:rsidRDefault="005037A0" w:rsidP="0036073F">
      <w:p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>Willi deberí</w:t>
      </w:r>
      <w:r w:rsidR="00873DA2" w:rsidRPr="00F0059D">
        <w:rPr>
          <w:rFonts w:ascii="Arial" w:hAnsi="Arial" w:cs="Arial"/>
          <w:lang w:val="es-CO"/>
        </w:rPr>
        <w:t>a tambi</w:t>
      </w:r>
      <w:r w:rsidRPr="00F0059D">
        <w:rPr>
          <w:rFonts w:ascii="Arial" w:hAnsi="Arial" w:cs="Arial"/>
          <w:lang w:val="es-CO"/>
        </w:rPr>
        <w:t>é</w:t>
      </w:r>
      <w:r w:rsidR="00873DA2" w:rsidRPr="00F0059D">
        <w:rPr>
          <w:rFonts w:ascii="Arial" w:hAnsi="Arial" w:cs="Arial"/>
          <w:lang w:val="es-CO"/>
        </w:rPr>
        <w:t>n recibir las mediciones de los ensayos para incluirlos en la base de datos y ejecutar los an</w:t>
      </w:r>
      <w:r w:rsidRPr="00F0059D">
        <w:rPr>
          <w:rFonts w:ascii="Arial" w:hAnsi="Arial" w:cs="Arial"/>
          <w:lang w:val="es-CO"/>
        </w:rPr>
        <w:t>á</w:t>
      </w:r>
      <w:r w:rsidR="00873DA2" w:rsidRPr="00F0059D">
        <w:rPr>
          <w:rFonts w:ascii="Arial" w:hAnsi="Arial" w:cs="Arial"/>
          <w:lang w:val="es-CO"/>
        </w:rPr>
        <w:t>lisis estad</w:t>
      </w:r>
      <w:r w:rsidRPr="00F0059D">
        <w:rPr>
          <w:rFonts w:ascii="Arial" w:hAnsi="Arial" w:cs="Arial"/>
          <w:lang w:val="es-CO"/>
        </w:rPr>
        <w:t>í</w:t>
      </w:r>
      <w:r w:rsidR="00873DA2" w:rsidRPr="00F0059D">
        <w:rPr>
          <w:rFonts w:ascii="Arial" w:hAnsi="Arial" w:cs="Arial"/>
          <w:lang w:val="es-CO"/>
        </w:rPr>
        <w:t xml:space="preserve">sticos. </w:t>
      </w:r>
    </w:p>
    <w:p w:rsidR="00226F99" w:rsidRPr="00F0059D" w:rsidRDefault="00226F99" w:rsidP="0036073F">
      <w:pPr>
        <w:jc w:val="both"/>
        <w:rPr>
          <w:rFonts w:ascii="Arial" w:hAnsi="Arial" w:cs="Arial"/>
          <w:lang w:val="es-CO"/>
        </w:rPr>
      </w:pPr>
    </w:p>
    <w:p w:rsidR="00560909" w:rsidRPr="00F0059D" w:rsidRDefault="00560909" w:rsidP="0036073F">
      <w:pPr>
        <w:jc w:val="both"/>
        <w:rPr>
          <w:rFonts w:ascii="Arial" w:hAnsi="Arial" w:cs="Arial"/>
          <w:lang w:val="es-CO"/>
        </w:rPr>
      </w:pPr>
    </w:p>
    <w:p w:rsidR="00C56A68" w:rsidRPr="00C56A68" w:rsidRDefault="00C56A68" w:rsidP="00C56A68">
      <w:pPr>
        <w:pStyle w:val="ListParagraph"/>
        <w:numPr>
          <w:ilvl w:val="1"/>
          <w:numId w:val="6"/>
        </w:numPr>
        <w:jc w:val="both"/>
        <w:rPr>
          <w:rFonts w:ascii="Arial" w:hAnsi="Arial" w:cs="Arial"/>
          <w:b/>
        </w:rPr>
      </w:pPr>
      <w:r w:rsidRPr="00C56A68">
        <w:rPr>
          <w:rFonts w:ascii="Arial" w:hAnsi="Arial" w:cs="Arial"/>
          <w:b/>
        </w:rPr>
        <w:t>An</w:t>
      </w:r>
      <w:r w:rsidR="00EF27F1">
        <w:rPr>
          <w:rFonts w:ascii="Arial" w:hAnsi="Arial" w:cs="Arial"/>
          <w:b/>
        </w:rPr>
        <w:t>álisis estadí</w:t>
      </w:r>
      <w:r w:rsidRPr="00C56A68">
        <w:rPr>
          <w:rFonts w:ascii="Arial" w:hAnsi="Arial" w:cs="Arial"/>
          <w:b/>
        </w:rPr>
        <w:t xml:space="preserve">sticos </w:t>
      </w:r>
    </w:p>
    <w:p w:rsidR="00C56A68" w:rsidRDefault="00C56A68" w:rsidP="00C56A68">
      <w:pPr>
        <w:jc w:val="both"/>
        <w:rPr>
          <w:rFonts w:ascii="Arial" w:hAnsi="Arial" w:cs="Arial"/>
          <w:b/>
        </w:rPr>
      </w:pPr>
    </w:p>
    <w:p w:rsidR="00560909" w:rsidRPr="00F0059D" w:rsidRDefault="00C56A68" w:rsidP="00C56A68">
      <w:p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>Los an</w:t>
      </w:r>
      <w:r w:rsidR="00912C99">
        <w:rPr>
          <w:rFonts w:ascii="Arial" w:hAnsi="Arial" w:cs="Arial"/>
          <w:lang w:val="es-CO"/>
        </w:rPr>
        <w:t>á</w:t>
      </w:r>
      <w:r w:rsidRPr="00F0059D">
        <w:rPr>
          <w:rFonts w:ascii="Arial" w:hAnsi="Arial" w:cs="Arial"/>
          <w:lang w:val="es-CO"/>
        </w:rPr>
        <w:t>lisi</w:t>
      </w:r>
      <w:r w:rsidR="00912C99">
        <w:rPr>
          <w:rFonts w:ascii="Arial" w:hAnsi="Arial" w:cs="Arial"/>
          <w:lang w:val="es-CO"/>
        </w:rPr>
        <w:t>s estadí</w:t>
      </w:r>
      <w:r w:rsidR="00EF27F1" w:rsidRPr="00F0059D">
        <w:rPr>
          <w:rFonts w:ascii="Arial" w:hAnsi="Arial" w:cs="Arial"/>
          <w:lang w:val="es-CO"/>
        </w:rPr>
        <w:t>sticos de los datos será</w:t>
      </w:r>
      <w:r w:rsidRPr="00F0059D">
        <w:rPr>
          <w:rFonts w:ascii="Arial" w:hAnsi="Arial" w:cs="Arial"/>
          <w:lang w:val="es-CO"/>
        </w:rPr>
        <w:t>n realizados</w:t>
      </w:r>
      <w:r w:rsidR="005F5196">
        <w:rPr>
          <w:rFonts w:ascii="Arial" w:hAnsi="Arial" w:cs="Arial"/>
          <w:lang w:val="es-CO"/>
        </w:rPr>
        <w:t xml:space="preserve"> por Camcore, tal</w:t>
      </w:r>
      <w:r w:rsidRPr="00F0059D">
        <w:rPr>
          <w:rFonts w:ascii="Arial" w:hAnsi="Arial" w:cs="Arial"/>
          <w:lang w:val="es-CO"/>
        </w:rPr>
        <w:t xml:space="preserve"> co</w:t>
      </w:r>
      <w:r w:rsidR="005F5196">
        <w:rPr>
          <w:rFonts w:ascii="Arial" w:hAnsi="Arial" w:cs="Arial"/>
          <w:lang w:val="es-CO"/>
        </w:rPr>
        <w:t>mo se hace con los</w:t>
      </w:r>
      <w:r w:rsidRPr="00F0059D">
        <w:rPr>
          <w:rFonts w:ascii="Arial" w:hAnsi="Arial" w:cs="Arial"/>
          <w:lang w:val="es-CO"/>
        </w:rPr>
        <w:t xml:space="preserve"> otros ensayos de procedencias/progenie con especies diferentes. </w:t>
      </w:r>
      <w:r w:rsidR="00560909" w:rsidRPr="00F0059D">
        <w:rPr>
          <w:rFonts w:ascii="Arial" w:hAnsi="Arial" w:cs="Arial"/>
          <w:b/>
          <w:lang w:val="es-CO"/>
        </w:rPr>
        <w:t xml:space="preserve"> </w:t>
      </w:r>
    </w:p>
    <w:p w:rsidR="00560909" w:rsidRPr="00F0059D" w:rsidRDefault="00560909" w:rsidP="0036073F">
      <w:pPr>
        <w:jc w:val="both"/>
        <w:rPr>
          <w:rFonts w:ascii="Arial" w:hAnsi="Arial" w:cs="Arial"/>
          <w:lang w:val="es-CO"/>
        </w:rPr>
      </w:pPr>
    </w:p>
    <w:p w:rsidR="00226F99" w:rsidRPr="00C56A68" w:rsidRDefault="00C56A68" w:rsidP="00C56A68">
      <w:pPr>
        <w:pStyle w:val="ListParagraph"/>
        <w:numPr>
          <w:ilvl w:val="1"/>
          <w:numId w:val="6"/>
        </w:numPr>
        <w:jc w:val="both"/>
        <w:rPr>
          <w:rFonts w:ascii="Arial" w:hAnsi="Arial" w:cs="Arial"/>
          <w:b/>
        </w:rPr>
      </w:pPr>
      <w:r w:rsidRPr="00C56A68">
        <w:rPr>
          <w:rFonts w:ascii="Arial" w:hAnsi="Arial" w:cs="Arial"/>
          <w:b/>
        </w:rPr>
        <w:t xml:space="preserve">Mejoramiento </w:t>
      </w:r>
      <w:r>
        <w:rPr>
          <w:rFonts w:ascii="Arial" w:hAnsi="Arial" w:cs="Arial"/>
          <w:b/>
        </w:rPr>
        <w:t>gen</w:t>
      </w:r>
      <w:r w:rsidR="00EF27F1">
        <w:rPr>
          <w:rFonts w:ascii="Arial" w:hAnsi="Arial" w:cs="Arial"/>
          <w:b/>
        </w:rPr>
        <w:t>é</w:t>
      </w:r>
      <w:r>
        <w:rPr>
          <w:rFonts w:ascii="Arial" w:hAnsi="Arial" w:cs="Arial"/>
          <w:b/>
        </w:rPr>
        <w:t>tic</w:t>
      </w:r>
      <w:r w:rsidR="00EF27F1">
        <w:rPr>
          <w:rFonts w:ascii="Arial" w:hAnsi="Arial" w:cs="Arial"/>
          <w:b/>
        </w:rPr>
        <w:t>o</w:t>
      </w:r>
    </w:p>
    <w:p w:rsidR="00C56A68" w:rsidRDefault="00C56A68" w:rsidP="00C56A68">
      <w:pPr>
        <w:jc w:val="both"/>
        <w:rPr>
          <w:rFonts w:ascii="Arial" w:hAnsi="Arial" w:cs="Arial"/>
          <w:b/>
        </w:rPr>
      </w:pPr>
    </w:p>
    <w:p w:rsidR="00C56A68" w:rsidRPr="00F0059D" w:rsidRDefault="00A47CA8" w:rsidP="00C56A68">
      <w:p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>Los resultados obtenidos de las evaluaciones de estos ensayos ser</w:t>
      </w:r>
      <w:r w:rsidR="00EF27F1" w:rsidRPr="00F0059D">
        <w:rPr>
          <w:rFonts w:ascii="Arial" w:hAnsi="Arial" w:cs="Arial"/>
          <w:lang w:val="es-CO"/>
        </w:rPr>
        <w:t>á</w:t>
      </w:r>
      <w:r w:rsidRPr="00F0059D">
        <w:rPr>
          <w:rFonts w:ascii="Arial" w:hAnsi="Arial" w:cs="Arial"/>
          <w:lang w:val="es-CO"/>
        </w:rPr>
        <w:t xml:space="preserve">n usados para realizar selecciones tempranas de los mejores </w:t>
      </w:r>
      <w:r w:rsidR="00EF27F1" w:rsidRPr="00F0059D">
        <w:rPr>
          <w:rFonts w:ascii="Arial" w:hAnsi="Arial" w:cs="Arial"/>
          <w:lang w:val="es-CO"/>
        </w:rPr>
        <w:t>á</w:t>
      </w:r>
      <w:r w:rsidRPr="00F0059D">
        <w:rPr>
          <w:rFonts w:ascii="Arial" w:hAnsi="Arial" w:cs="Arial"/>
          <w:lang w:val="es-CO"/>
        </w:rPr>
        <w:t>rboles dentro de las</w:t>
      </w:r>
      <w:r w:rsidR="00EF27F1" w:rsidRPr="00F0059D">
        <w:rPr>
          <w:rFonts w:ascii="Arial" w:hAnsi="Arial" w:cs="Arial"/>
          <w:lang w:val="es-CO"/>
        </w:rPr>
        <w:t xml:space="preserve"> mejores familias (primeros 5 años). Estas selecciones deberí</w:t>
      </w:r>
      <w:r w:rsidRPr="00F0059D">
        <w:rPr>
          <w:rFonts w:ascii="Arial" w:hAnsi="Arial" w:cs="Arial"/>
          <w:lang w:val="es-CO"/>
        </w:rPr>
        <w:t>an ser usadas para el establecimiento de ensayos clonales en sitios diferentes, y para la producci</w:t>
      </w:r>
      <w:r w:rsidR="00EF27F1" w:rsidRPr="00F0059D">
        <w:rPr>
          <w:rFonts w:ascii="Arial" w:hAnsi="Arial" w:cs="Arial"/>
          <w:lang w:val="es-CO"/>
        </w:rPr>
        <w:t>ó</w:t>
      </w:r>
      <w:r w:rsidRPr="00F0059D">
        <w:rPr>
          <w:rFonts w:ascii="Arial" w:hAnsi="Arial" w:cs="Arial"/>
          <w:lang w:val="es-CO"/>
        </w:rPr>
        <w:t xml:space="preserve">n de estacas para el programa </w:t>
      </w:r>
      <w:r w:rsidR="00EF27F1" w:rsidRPr="00F0059D">
        <w:rPr>
          <w:rFonts w:ascii="Arial" w:hAnsi="Arial" w:cs="Arial"/>
          <w:lang w:val="es-CO"/>
        </w:rPr>
        <w:t>operacional. Camcore participará</w:t>
      </w:r>
      <w:r w:rsidRPr="00F0059D">
        <w:rPr>
          <w:rFonts w:ascii="Arial" w:hAnsi="Arial" w:cs="Arial"/>
          <w:lang w:val="es-CO"/>
        </w:rPr>
        <w:t xml:space="preserve"> en las </w:t>
      </w:r>
      <w:r w:rsidR="00EF27F1" w:rsidRPr="00F0059D">
        <w:rPr>
          <w:rFonts w:ascii="Arial" w:hAnsi="Arial" w:cs="Arial"/>
          <w:lang w:val="es-CO"/>
        </w:rPr>
        <w:t>selecciones tempranas y proveerá los diseñ</w:t>
      </w:r>
      <w:r w:rsidRPr="00F0059D">
        <w:rPr>
          <w:rFonts w:ascii="Arial" w:hAnsi="Arial" w:cs="Arial"/>
          <w:lang w:val="es-CO"/>
        </w:rPr>
        <w:t xml:space="preserve">os para los ensayos clonales. </w:t>
      </w:r>
    </w:p>
    <w:p w:rsidR="00A93A32" w:rsidRPr="00F0059D" w:rsidRDefault="00345D28" w:rsidP="0036073F">
      <w:p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 xml:space="preserve">    </w:t>
      </w:r>
      <w:r w:rsidR="00525760" w:rsidRPr="00F0059D">
        <w:rPr>
          <w:rFonts w:ascii="Arial" w:hAnsi="Arial" w:cs="Arial"/>
          <w:lang w:val="es-CO"/>
        </w:rPr>
        <w:t xml:space="preserve"> </w:t>
      </w:r>
      <w:r w:rsidR="007D709D" w:rsidRPr="00F0059D">
        <w:rPr>
          <w:rFonts w:ascii="Arial" w:hAnsi="Arial" w:cs="Arial"/>
          <w:lang w:val="es-CO"/>
        </w:rPr>
        <w:t xml:space="preserve">   </w:t>
      </w:r>
      <w:r w:rsidR="00120956" w:rsidRPr="00F0059D">
        <w:rPr>
          <w:rFonts w:ascii="Arial" w:hAnsi="Arial" w:cs="Arial"/>
          <w:lang w:val="es-CO"/>
        </w:rPr>
        <w:t xml:space="preserve">  </w:t>
      </w:r>
      <w:r w:rsidR="00972836" w:rsidRPr="00F0059D">
        <w:rPr>
          <w:rFonts w:ascii="Arial" w:hAnsi="Arial" w:cs="Arial"/>
          <w:lang w:val="es-CO"/>
        </w:rPr>
        <w:t xml:space="preserve">  </w:t>
      </w:r>
      <w:r w:rsidR="00EC68D7" w:rsidRPr="00F0059D">
        <w:rPr>
          <w:rFonts w:ascii="Arial" w:hAnsi="Arial" w:cs="Arial"/>
          <w:lang w:val="es-CO"/>
        </w:rPr>
        <w:t xml:space="preserve">  </w:t>
      </w:r>
      <w:r w:rsidR="00D457C5" w:rsidRPr="00F0059D">
        <w:rPr>
          <w:rFonts w:ascii="Arial" w:hAnsi="Arial" w:cs="Arial"/>
          <w:lang w:val="es-CO"/>
        </w:rPr>
        <w:t xml:space="preserve">   </w:t>
      </w:r>
      <w:r w:rsidR="00E120C4" w:rsidRPr="00F0059D">
        <w:rPr>
          <w:rFonts w:ascii="Arial" w:hAnsi="Arial" w:cs="Arial"/>
          <w:lang w:val="es-CO"/>
        </w:rPr>
        <w:t xml:space="preserve">  </w:t>
      </w:r>
      <w:r w:rsidR="00536598" w:rsidRPr="00F0059D">
        <w:rPr>
          <w:rFonts w:ascii="Arial" w:hAnsi="Arial" w:cs="Arial"/>
          <w:lang w:val="es-CO"/>
        </w:rPr>
        <w:t xml:space="preserve"> </w:t>
      </w:r>
      <w:r w:rsidR="00A93A32" w:rsidRPr="00F0059D">
        <w:rPr>
          <w:rFonts w:ascii="Arial" w:hAnsi="Arial" w:cs="Arial"/>
          <w:lang w:val="es-CO"/>
        </w:rPr>
        <w:t xml:space="preserve"> </w:t>
      </w:r>
    </w:p>
    <w:p w:rsidR="00A93A32" w:rsidRPr="00F0059D" w:rsidRDefault="00A93A32" w:rsidP="0036073F">
      <w:pPr>
        <w:jc w:val="both"/>
        <w:rPr>
          <w:rFonts w:ascii="Arial" w:hAnsi="Arial" w:cs="Arial"/>
          <w:lang w:val="es-CO"/>
        </w:rPr>
      </w:pPr>
      <w:r w:rsidRPr="00F0059D">
        <w:rPr>
          <w:rFonts w:ascii="Arial" w:hAnsi="Arial" w:cs="Arial"/>
          <w:lang w:val="es-CO"/>
        </w:rPr>
        <w:t xml:space="preserve">  </w:t>
      </w:r>
    </w:p>
    <w:p w:rsidR="00DC33E7" w:rsidRPr="00F0059D" w:rsidRDefault="00DC33E7" w:rsidP="0036073F">
      <w:pPr>
        <w:jc w:val="both"/>
        <w:rPr>
          <w:rFonts w:ascii="Arial" w:hAnsi="Arial" w:cs="Arial"/>
          <w:b/>
          <w:lang w:val="es-CO"/>
        </w:rPr>
      </w:pPr>
    </w:p>
    <w:p w:rsidR="00DC33E7" w:rsidRPr="00F0059D" w:rsidRDefault="00DC33E7" w:rsidP="0036073F">
      <w:pPr>
        <w:jc w:val="both"/>
        <w:rPr>
          <w:rFonts w:ascii="Arial" w:hAnsi="Arial" w:cs="Arial"/>
          <w:b/>
          <w:lang w:val="es-CO"/>
        </w:rPr>
      </w:pPr>
    </w:p>
    <w:p w:rsidR="00FC1D5B" w:rsidRPr="00DC33E7" w:rsidRDefault="00FC1D5B" w:rsidP="0036073F">
      <w:pPr>
        <w:jc w:val="both"/>
        <w:rPr>
          <w:rFonts w:ascii="Arial" w:hAnsi="Arial" w:cs="Arial"/>
          <w:lang w:val="es-ES"/>
        </w:rPr>
      </w:pPr>
    </w:p>
    <w:p w:rsidR="0035414A" w:rsidRPr="00DC33E7" w:rsidRDefault="0035414A" w:rsidP="0036073F">
      <w:pPr>
        <w:jc w:val="both"/>
        <w:rPr>
          <w:rFonts w:ascii="Arial" w:hAnsi="Arial" w:cs="Arial"/>
          <w:lang w:val="es-ES"/>
        </w:rPr>
      </w:pPr>
    </w:p>
    <w:p w:rsidR="00472CA8" w:rsidRPr="00DC33E7" w:rsidRDefault="00472CA8" w:rsidP="0036073F">
      <w:pPr>
        <w:jc w:val="both"/>
        <w:rPr>
          <w:rFonts w:ascii="Arial" w:hAnsi="Arial" w:cs="Arial"/>
          <w:b/>
          <w:lang w:val="es-ES"/>
        </w:rPr>
      </w:pPr>
    </w:p>
    <w:p w:rsidR="00765D5D" w:rsidRPr="00DC33E7" w:rsidRDefault="00765D5D" w:rsidP="0036073F">
      <w:pPr>
        <w:jc w:val="both"/>
        <w:rPr>
          <w:rFonts w:ascii="Arial" w:hAnsi="Arial" w:cs="Arial"/>
          <w:lang w:val="es-ES"/>
        </w:rPr>
      </w:pPr>
    </w:p>
    <w:p w:rsidR="0035414A" w:rsidRPr="00DC33E7" w:rsidRDefault="0035414A" w:rsidP="0036073F">
      <w:pPr>
        <w:jc w:val="both"/>
        <w:rPr>
          <w:rFonts w:ascii="Arial" w:hAnsi="Arial" w:cs="Arial"/>
          <w:lang w:val="es-ES"/>
        </w:rPr>
      </w:pPr>
    </w:p>
    <w:sectPr w:rsidR="0035414A" w:rsidRPr="00DC33E7" w:rsidSect="00227F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963E1"/>
    <w:multiLevelType w:val="hybridMultilevel"/>
    <w:tmpl w:val="9A901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E2236"/>
    <w:multiLevelType w:val="hybridMultilevel"/>
    <w:tmpl w:val="4036AFA0"/>
    <w:lvl w:ilvl="0" w:tplc="595C927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34FE31C3"/>
    <w:multiLevelType w:val="hybridMultilevel"/>
    <w:tmpl w:val="DE8E9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8B295D"/>
    <w:multiLevelType w:val="hybridMultilevel"/>
    <w:tmpl w:val="32DA4976"/>
    <w:lvl w:ilvl="0" w:tplc="2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60E0F5F"/>
    <w:multiLevelType w:val="hybridMultilevel"/>
    <w:tmpl w:val="019292A0"/>
    <w:lvl w:ilvl="0" w:tplc="024C886C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801181"/>
    <w:multiLevelType w:val="hybridMultilevel"/>
    <w:tmpl w:val="735AC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F17D58"/>
    <w:multiLevelType w:val="hybridMultilevel"/>
    <w:tmpl w:val="5514500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A0294A"/>
    <w:multiLevelType w:val="hybridMultilevel"/>
    <w:tmpl w:val="799A7B84"/>
    <w:lvl w:ilvl="0" w:tplc="595C9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2F79C5"/>
    <w:multiLevelType w:val="multilevel"/>
    <w:tmpl w:val="5F547F3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20"/>
  <w:hyphenationZone w:val="425"/>
  <w:characterSpacingControl w:val="doNotCompress"/>
  <w:compat>
    <w:useFELayout/>
  </w:compat>
  <w:rsids>
    <w:rsidRoot w:val="0035414A"/>
    <w:rsid w:val="00026F44"/>
    <w:rsid w:val="000335CE"/>
    <w:rsid w:val="000955D7"/>
    <w:rsid w:val="000A4B3A"/>
    <w:rsid w:val="000B0730"/>
    <w:rsid w:val="000B13EB"/>
    <w:rsid w:val="00111C9E"/>
    <w:rsid w:val="00120956"/>
    <w:rsid w:val="00125D9D"/>
    <w:rsid w:val="00141101"/>
    <w:rsid w:val="001544A4"/>
    <w:rsid w:val="00177D2B"/>
    <w:rsid w:val="001904FB"/>
    <w:rsid w:val="001B2C57"/>
    <w:rsid w:val="001C37B3"/>
    <w:rsid w:val="001E01FF"/>
    <w:rsid w:val="0020392E"/>
    <w:rsid w:val="00206FDC"/>
    <w:rsid w:val="002269CC"/>
    <w:rsid w:val="00226F99"/>
    <w:rsid w:val="00227F6B"/>
    <w:rsid w:val="0023330E"/>
    <w:rsid w:val="00234A9B"/>
    <w:rsid w:val="00236705"/>
    <w:rsid w:val="002539EA"/>
    <w:rsid w:val="00253DE3"/>
    <w:rsid w:val="002659F8"/>
    <w:rsid w:val="00274867"/>
    <w:rsid w:val="002A4EC4"/>
    <w:rsid w:val="002C019C"/>
    <w:rsid w:val="002C22E4"/>
    <w:rsid w:val="002D07E1"/>
    <w:rsid w:val="002D7A7C"/>
    <w:rsid w:val="003213E8"/>
    <w:rsid w:val="00345D28"/>
    <w:rsid w:val="0035414A"/>
    <w:rsid w:val="0036073F"/>
    <w:rsid w:val="00377960"/>
    <w:rsid w:val="003B65FE"/>
    <w:rsid w:val="003C0FBD"/>
    <w:rsid w:val="00423B8B"/>
    <w:rsid w:val="00435DC5"/>
    <w:rsid w:val="004638A1"/>
    <w:rsid w:val="004718D4"/>
    <w:rsid w:val="00472CA8"/>
    <w:rsid w:val="004937BB"/>
    <w:rsid w:val="004C1728"/>
    <w:rsid w:val="004D6365"/>
    <w:rsid w:val="004E0A56"/>
    <w:rsid w:val="004E599B"/>
    <w:rsid w:val="004F43E3"/>
    <w:rsid w:val="005037A0"/>
    <w:rsid w:val="005075C0"/>
    <w:rsid w:val="005143B8"/>
    <w:rsid w:val="00525760"/>
    <w:rsid w:val="00536598"/>
    <w:rsid w:val="00560909"/>
    <w:rsid w:val="0056356F"/>
    <w:rsid w:val="00592E2A"/>
    <w:rsid w:val="0059431D"/>
    <w:rsid w:val="00597C8C"/>
    <w:rsid w:val="005A11FF"/>
    <w:rsid w:val="005A126B"/>
    <w:rsid w:val="005B0A94"/>
    <w:rsid w:val="005C1A58"/>
    <w:rsid w:val="005C2EDF"/>
    <w:rsid w:val="005E19CE"/>
    <w:rsid w:val="005F5196"/>
    <w:rsid w:val="006215C0"/>
    <w:rsid w:val="00636029"/>
    <w:rsid w:val="006447BA"/>
    <w:rsid w:val="006511D0"/>
    <w:rsid w:val="0065325F"/>
    <w:rsid w:val="00653F3E"/>
    <w:rsid w:val="00654170"/>
    <w:rsid w:val="00676D8E"/>
    <w:rsid w:val="006A3DA1"/>
    <w:rsid w:val="006C5AB0"/>
    <w:rsid w:val="006D06C3"/>
    <w:rsid w:val="006D1BAC"/>
    <w:rsid w:val="00707677"/>
    <w:rsid w:val="007127A8"/>
    <w:rsid w:val="00716E1F"/>
    <w:rsid w:val="007234AF"/>
    <w:rsid w:val="0073293F"/>
    <w:rsid w:val="00765D5D"/>
    <w:rsid w:val="0077319D"/>
    <w:rsid w:val="0079231B"/>
    <w:rsid w:val="00793C84"/>
    <w:rsid w:val="00797AE4"/>
    <w:rsid w:val="007A3DFA"/>
    <w:rsid w:val="007D2CE5"/>
    <w:rsid w:val="007D709D"/>
    <w:rsid w:val="00836B26"/>
    <w:rsid w:val="00853BC7"/>
    <w:rsid w:val="00870C1C"/>
    <w:rsid w:val="008716AD"/>
    <w:rsid w:val="00873DA2"/>
    <w:rsid w:val="00881097"/>
    <w:rsid w:val="0088671B"/>
    <w:rsid w:val="008A4E67"/>
    <w:rsid w:val="008B0C63"/>
    <w:rsid w:val="008B3A6D"/>
    <w:rsid w:val="008E24E4"/>
    <w:rsid w:val="008F1B16"/>
    <w:rsid w:val="00905456"/>
    <w:rsid w:val="00912C99"/>
    <w:rsid w:val="00926838"/>
    <w:rsid w:val="00962349"/>
    <w:rsid w:val="0096467C"/>
    <w:rsid w:val="00972836"/>
    <w:rsid w:val="00984A1A"/>
    <w:rsid w:val="009B5693"/>
    <w:rsid w:val="009B5EA3"/>
    <w:rsid w:val="009C6D69"/>
    <w:rsid w:val="00A04EFB"/>
    <w:rsid w:val="00A0593A"/>
    <w:rsid w:val="00A066E2"/>
    <w:rsid w:val="00A072BE"/>
    <w:rsid w:val="00A20731"/>
    <w:rsid w:val="00A21AFA"/>
    <w:rsid w:val="00A22CBE"/>
    <w:rsid w:val="00A249EF"/>
    <w:rsid w:val="00A31B5B"/>
    <w:rsid w:val="00A439EA"/>
    <w:rsid w:val="00A47CA8"/>
    <w:rsid w:val="00A7136F"/>
    <w:rsid w:val="00A83C2F"/>
    <w:rsid w:val="00A93A32"/>
    <w:rsid w:val="00AA4BFB"/>
    <w:rsid w:val="00AD7CA1"/>
    <w:rsid w:val="00B06B77"/>
    <w:rsid w:val="00B40962"/>
    <w:rsid w:val="00B525E8"/>
    <w:rsid w:val="00B75A7E"/>
    <w:rsid w:val="00B80DA3"/>
    <w:rsid w:val="00B83F56"/>
    <w:rsid w:val="00B87296"/>
    <w:rsid w:val="00BA5DD6"/>
    <w:rsid w:val="00BB2F31"/>
    <w:rsid w:val="00BB3C9C"/>
    <w:rsid w:val="00C07723"/>
    <w:rsid w:val="00C36CFF"/>
    <w:rsid w:val="00C4174B"/>
    <w:rsid w:val="00C56A68"/>
    <w:rsid w:val="00C64473"/>
    <w:rsid w:val="00C742A6"/>
    <w:rsid w:val="00C74C75"/>
    <w:rsid w:val="00C816F9"/>
    <w:rsid w:val="00C86ADE"/>
    <w:rsid w:val="00C87420"/>
    <w:rsid w:val="00CB5D6D"/>
    <w:rsid w:val="00CC72BF"/>
    <w:rsid w:val="00CE73DC"/>
    <w:rsid w:val="00CF0423"/>
    <w:rsid w:val="00CF272A"/>
    <w:rsid w:val="00CF5918"/>
    <w:rsid w:val="00CF6D21"/>
    <w:rsid w:val="00D42531"/>
    <w:rsid w:val="00D44A9B"/>
    <w:rsid w:val="00D457C5"/>
    <w:rsid w:val="00D93277"/>
    <w:rsid w:val="00D978BC"/>
    <w:rsid w:val="00DB67D1"/>
    <w:rsid w:val="00DC33E7"/>
    <w:rsid w:val="00DD26BD"/>
    <w:rsid w:val="00E040ED"/>
    <w:rsid w:val="00E120C4"/>
    <w:rsid w:val="00E503B9"/>
    <w:rsid w:val="00E531CD"/>
    <w:rsid w:val="00E71D3B"/>
    <w:rsid w:val="00E771A0"/>
    <w:rsid w:val="00E87D08"/>
    <w:rsid w:val="00EA5F4C"/>
    <w:rsid w:val="00EC68D7"/>
    <w:rsid w:val="00EC7255"/>
    <w:rsid w:val="00ED155B"/>
    <w:rsid w:val="00EE175A"/>
    <w:rsid w:val="00EF227B"/>
    <w:rsid w:val="00EF27F1"/>
    <w:rsid w:val="00EF6915"/>
    <w:rsid w:val="00F0059D"/>
    <w:rsid w:val="00F27C40"/>
    <w:rsid w:val="00F4437F"/>
    <w:rsid w:val="00F44AFA"/>
    <w:rsid w:val="00F451E7"/>
    <w:rsid w:val="00F51518"/>
    <w:rsid w:val="00F53C56"/>
    <w:rsid w:val="00F6403E"/>
    <w:rsid w:val="00F9484F"/>
    <w:rsid w:val="00FB1079"/>
    <w:rsid w:val="00FC1AB4"/>
    <w:rsid w:val="00FC1D5B"/>
    <w:rsid w:val="00FF0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7F6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0593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0593A"/>
    <w:rPr>
      <w:sz w:val="16"/>
      <w:szCs w:val="16"/>
    </w:rPr>
  </w:style>
  <w:style w:type="paragraph" w:styleId="CommentText">
    <w:name w:val="annotation text"/>
    <w:basedOn w:val="Normal"/>
    <w:semiHidden/>
    <w:rsid w:val="00A0593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0593A"/>
    <w:rPr>
      <w:b/>
      <w:bCs/>
    </w:rPr>
  </w:style>
  <w:style w:type="paragraph" w:styleId="ListParagraph">
    <w:name w:val="List Paragraph"/>
    <w:basedOn w:val="Normal"/>
    <w:uiPriority w:val="34"/>
    <w:qFormat/>
    <w:rsid w:val="00DC33E7"/>
    <w:pPr>
      <w:ind w:left="708"/>
    </w:pPr>
  </w:style>
  <w:style w:type="table" w:styleId="TableGrid">
    <w:name w:val="Table Grid"/>
    <w:basedOn w:val="TableNormal"/>
    <w:rsid w:val="005143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FE42B-085C-4F37-84E5-211573F66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Master plan for Teak studies Camcore members</vt:lpstr>
    </vt:vector>
  </TitlesOfParts>
  <Company>Center for Earth Observation</Company>
  <LinksUpToDate>false</LinksUpToDate>
  <CharactersWithSpaces>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 plan for Teak studies Camcore members</dc:title>
  <dc:subject/>
  <dc:creator>jllopez</dc:creator>
  <cp:keywords/>
  <dc:description/>
  <cp:lastModifiedBy>jllopez</cp:lastModifiedBy>
  <cp:revision>2</cp:revision>
  <dcterms:created xsi:type="dcterms:W3CDTF">2010-04-15T15:07:00Z</dcterms:created>
  <dcterms:modified xsi:type="dcterms:W3CDTF">2010-04-15T15:07:00Z</dcterms:modified>
</cp:coreProperties>
</file>